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BE4E5" w14:textId="541E271E" w:rsidR="00440307" w:rsidRPr="00E03BEB" w:rsidRDefault="00440307" w:rsidP="000A6B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Замовник:</w:t>
      </w: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D6102" w:rsidRPr="00E03BEB">
        <w:rPr>
          <w:rFonts w:ascii="Times New Roman" w:hAnsi="Times New Roman"/>
          <w:bCs/>
          <w:color w:val="000000" w:themeColor="text1"/>
          <w:kern w:val="3"/>
          <w:sz w:val="24"/>
          <w:szCs w:val="24"/>
          <w:lang w:val="uk-UA"/>
        </w:rPr>
        <w:t xml:space="preserve">Управління з питань надзвичайних ситуацій та взаємодії з правоохоронними органами </w:t>
      </w:r>
      <w:proofErr w:type="spellStart"/>
      <w:r w:rsidR="002D6102" w:rsidRPr="00E03BEB">
        <w:rPr>
          <w:rFonts w:ascii="Times New Roman" w:hAnsi="Times New Roman"/>
          <w:bCs/>
          <w:color w:val="000000" w:themeColor="text1"/>
          <w:kern w:val="3"/>
          <w:sz w:val="24"/>
          <w:szCs w:val="24"/>
          <w:lang w:val="uk-UA"/>
        </w:rPr>
        <w:t>Южноукраїнської</w:t>
      </w:r>
      <w:proofErr w:type="spellEnd"/>
      <w:r w:rsidR="002D6102" w:rsidRPr="00E03BEB">
        <w:rPr>
          <w:rFonts w:ascii="Times New Roman" w:hAnsi="Times New Roman"/>
          <w:bCs/>
          <w:color w:val="000000" w:themeColor="text1"/>
          <w:kern w:val="3"/>
          <w:sz w:val="24"/>
          <w:szCs w:val="24"/>
          <w:lang w:val="uk-UA"/>
        </w:rPr>
        <w:t xml:space="preserve"> міської ради</w:t>
      </w:r>
      <w:r w:rsidRPr="00E0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</w:r>
      <w:r w:rsidRPr="00E0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</w:r>
      <w:r w:rsidRPr="00E0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</w:r>
    </w:p>
    <w:p w14:paraId="3298E5B5" w14:textId="2A60A2B5" w:rsidR="00440307" w:rsidRPr="00E03BEB" w:rsidRDefault="00440307" w:rsidP="000A6B1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Код ЄДРПОУ</w:t>
      </w:r>
      <w:r w:rsidR="00A8172D"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  <w:r w:rsidR="002D6102"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D6102" w:rsidRPr="00E03BEB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24548027</w:t>
      </w:r>
    </w:p>
    <w:p w14:paraId="2823F93A" w14:textId="77777777" w:rsidR="002D6102" w:rsidRPr="00E03BEB" w:rsidRDefault="00440307" w:rsidP="000A6B1B">
      <w:pPr>
        <w:tabs>
          <w:tab w:val="left" w:pos="284"/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Адреса</w:t>
      </w: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D6102" w:rsidRPr="00E03B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55000, Миколаївська область,  м. Южноукраїнськ, вулиця Дружби Народів, 23 </w:t>
      </w:r>
      <w:proofErr w:type="spellStart"/>
      <w:r w:rsidR="002D6102" w:rsidRPr="00E03B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кімн</w:t>
      </w:r>
      <w:proofErr w:type="spellEnd"/>
      <w:r w:rsidR="002D6102" w:rsidRPr="00E03B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94.</w:t>
      </w:r>
    </w:p>
    <w:p w14:paraId="682B196F" w14:textId="7F39ACDC" w:rsidR="002D6102" w:rsidRPr="00357D40" w:rsidRDefault="00440307" w:rsidP="000A6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Категорія:</w:t>
      </w: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D6102"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Юридична </w:t>
      </w:r>
      <w:r w:rsidR="002D6102" w:rsidRPr="00357D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особа, яка забезпечує потреби держави або територіальної громади (юридична особа є розпорядником бюджетних коштів).</w:t>
      </w:r>
    </w:p>
    <w:p w14:paraId="642FE17F" w14:textId="73407C86" w:rsidR="008A52B1" w:rsidRPr="00CE6E69" w:rsidRDefault="006C64BD" w:rsidP="008A52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7D4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Ідентифікатор </w:t>
      </w:r>
      <w:r w:rsidRPr="007D2037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CE6E6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E6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72D" w:rsidRPr="00CE6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425" w:rsidRPr="00CE6E69">
        <w:rPr>
          <w:rFonts w:ascii="Times New Roman" w:hAnsi="Times New Roman" w:cs="Times New Roman"/>
          <w:sz w:val="24"/>
          <w:szCs w:val="24"/>
        </w:rPr>
        <w:t> </w:t>
      </w:r>
      <w:r w:rsidR="00CE6E69" w:rsidRPr="00CE6E69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="00CE6E69" w:rsidRPr="00CE6E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-2024-08-05-006314-</w:t>
      </w:r>
      <w:r w:rsidR="00CE6E69" w:rsidRPr="00CE6E6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627C6182" w14:textId="5EF7D193" w:rsidR="002129C9" w:rsidRPr="00E03BEB" w:rsidRDefault="002129C9" w:rsidP="008A52B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ОБҐРУНТУВАННЯ</w:t>
      </w:r>
    </w:p>
    <w:p w14:paraId="58B59908" w14:textId="77777777" w:rsidR="007E7193" w:rsidRPr="00E03BEB" w:rsidRDefault="002129C9" w:rsidP="007E71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  <w:r w:rsidR="007E7193" w:rsidRPr="00E03BE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49BCBBD2" w14:textId="2922A073" w:rsidR="002129C9" w:rsidRPr="00E03BEB" w:rsidRDefault="007E7193" w:rsidP="007E71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C52D96"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підставі постанови Кабінету Міністрів України від 11.10.2016 № 710 «Про ефективне використання державних коштів» (зі змінами))</w:t>
      </w:r>
    </w:p>
    <w:p w14:paraId="687E410D" w14:textId="77777777" w:rsidR="00561BE3" w:rsidRPr="00E03BEB" w:rsidRDefault="00561BE3" w:rsidP="007E7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68"/>
        <w:gridCol w:w="2409"/>
        <w:gridCol w:w="1834"/>
        <w:gridCol w:w="3837"/>
        <w:gridCol w:w="3657"/>
        <w:gridCol w:w="11"/>
      </w:tblGrid>
      <w:tr w:rsidR="00E03BEB" w:rsidRPr="00E03BEB" w14:paraId="774603C1" w14:textId="77777777" w:rsidTr="00DA36A1">
        <w:trPr>
          <w:trHeight w:val="26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80CA" w14:textId="77777777" w:rsidR="00A93DEF" w:rsidRPr="00E03BEB" w:rsidRDefault="00A93DEF" w:rsidP="000F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3A2E4" w14:textId="77777777" w:rsidR="00A93DEF" w:rsidRPr="00E03BEB" w:rsidRDefault="00440307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CF90B" w14:textId="77777777" w:rsidR="00A93DEF" w:rsidRPr="00E03BEB" w:rsidRDefault="00A93DEF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Style w:val="rvts0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Очікувана вартість та/або розмір бюджетного призначення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EA46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2F1A39A6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1C227451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70D512B0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393AE888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23F76B92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4"/>
                <w:szCs w:val="4"/>
                <w:lang w:val="uk-UA"/>
              </w:rPr>
            </w:pPr>
          </w:p>
          <w:p w14:paraId="65E6826C" w14:textId="7A9782F9" w:rsidR="00A93DEF" w:rsidRPr="00E03BEB" w:rsidRDefault="00B16A36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Вид</w:t>
            </w:r>
            <w:r w:rsidR="00A93DEF" w:rsidRPr="00E03BEB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закупівлі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66E3" w14:textId="77777777" w:rsidR="00A93DEF" w:rsidRPr="00E03BEB" w:rsidRDefault="00A93DEF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Обґрунтування</w:t>
            </w:r>
          </w:p>
        </w:tc>
      </w:tr>
      <w:tr w:rsidR="00E03BEB" w:rsidRPr="00E03BEB" w14:paraId="6A2951A4" w14:textId="77777777" w:rsidTr="00DA36A1">
        <w:trPr>
          <w:gridAfter w:val="1"/>
          <w:wAfter w:w="11" w:type="dxa"/>
          <w:trHeight w:val="45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587" w14:textId="77777777" w:rsidR="00A93DEF" w:rsidRPr="00E03BEB" w:rsidRDefault="00A93DEF" w:rsidP="000F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3F8" w14:textId="77777777" w:rsidR="00A93DEF" w:rsidRPr="00E03BEB" w:rsidRDefault="00A93DEF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876" w14:textId="77777777" w:rsidR="00A93DEF" w:rsidRPr="00E03BEB" w:rsidRDefault="00A93DEF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8C4" w14:textId="77777777" w:rsidR="00A93DEF" w:rsidRPr="00E03BEB" w:rsidRDefault="00A93DEF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F23" w14:textId="77777777" w:rsidR="00A93DEF" w:rsidRPr="00E03BEB" w:rsidRDefault="00A93DEF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394" w14:textId="77777777" w:rsidR="00A93DEF" w:rsidRPr="00E03BEB" w:rsidRDefault="00A93DEF" w:rsidP="00542D0C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очікуваної вартості закупівлі</w:t>
            </w:r>
          </w:p>
        </w:tc>
      </w:tr>
      <w:tr w:rsidR="00E03BEB" w:rsidRPr="00E03BEB" w14:paraId="3A6EE96D" w14:textId="77777777" w:rsidTr="00DA36A1">
        <w:trPr>
          <w:gridAfter w:val="1"/>
          <w:wAfter w:w="11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E85A" w14:textId="77777777" w:rsidR="00A93DEF" w:rsidRPr="00E03BEB" w:rsidRDefault="00A93DEF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47D" w14:textId="77777777" w:rsidR="00A93DEF" w:rsidRPr="00E03BEB" w:rsidRDefault="00A93DEF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98D" w14:textId="77777777" w:rsidR="00A93DEF" w:rsidRPr="00E03BEB" w:rsidRDefault="00A93DEF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D68" w14:textId="10E8C628" w:rsidR="00A93DEF" w:rsidRPr="00E03BEB" w:rsidRDefault="00825982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7B0" w14:textId="12BF3832" w:rsidR="00A93DEF" w:rsidRPr="00E03BEB" w:rsidRDefault="00825982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AAA" w14:textId="1C44F560" w:rsidR="00A93DEF" w:rsidRPr="00E03BEB" w:rsidRDefault="00825982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</w:tr>
      <w:tr w:rsidR="007B23C0" w:rsidRPr="00CE6E69" w14:paraId="0B55DDAB" w14:textId="77777777" w:rsidTr="00DA36A1">
        <w:trPr>
          <w:gridAfter w:val="1"/>
          <w:wAfter w:w="11" w:type="dxa"/>
          <w:trHeight w:val="35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C0E1" w14:textId="77777777" w:rsidR="007B23C0" w:rsidRPr="00E03BEB" w:rsidRDefault="007B23C0" w:rsidP="00BB59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1052" w14:textId="562E9364" w:rsidR="00B91586" w:rsidRPr="00BB5986" w:rsidRDefault="00081B1E" w:rsidP="00B915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5986">
              <w:rPr>
                <w:rFonts w:ascii="Times New Roman" w:hAnsi="Times New Roman" w:cs="Times New Roman"/>
                <w:lang w:val="uk-UA"/>
              </w:rPr>
              <w:t>Мішок спальний</w:t>
            </w:r>
          </w:p>
          <w:p w14:paraId="60DD601D" w14:textId="21F5A8AA" w:rsidR="007B23C0" w:rsidRPr="00BB5986" w:rsidRDefault="00B91586" w:rsidP="00081B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BB5986">
              <w:rPr>
                <w:rFonts w:ascii="Times New Roman" w:hAnsi="Times New Roman" w:cs="Times New Roman"/>
                <w:bCs/>
                <w:lang w:val="uk-UA"/>
              </w:rPr>
              <w:t>ДК 021:2015</w:t>
            </w:r>
            <w:r w:rsidR="00081B1E" w:rsidRPr="00BB598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081B1E" w:rsidRPr="00BB5986">
              <w:rPr>
                <w:rFonts w:ascii="Times New Roman" w:hAnsi="Times New Roman" w:cs="Times New Roman"/>
                <w:lang w:val="uk-UA"/>
              </w:rPr>
              <w:t>39520000-3                           Готові текстильні вироби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6F6" w14:textId="75091EDB" w:rsidR="002E476D" w:rsidRPr="00BB5986" w:rsidRDefault="009004FC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 w:rsidR="00CE6E69">
              <w:rPr>
                <w:rFonts w:ascii="Times New Roman" w:hAnsi="Times New Roman"/>
                <w:color w:val="000000" w:themeColor="text1"/>
                <w:lang w:val="uk-UA"/>
              </w:rPr>
              <w:t>30</w:t>
            </w:r>
            <w:r w:rsidRPr="00BB5986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CE6E69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  <w:r w:rsidR="002E476D" w:rsidRPr="00BB5986">
              <w:rPr>
                <w:rFonts w:ascii="Times New Roman" w:hAnsi="Times New Roman"/>
                <w:color w:val="000000" w:themeColor="text1"/>
                <w:lang w:val="uk-UA"/>
              </w:rPr>
              <w:t>00,00</w:t>
            </w:r>
          </w:p>
          <w:p w14:paraId="6BA71F50" w14:textId="2D7D9363" w:rsidR="007B23C0" w:rsidRPr="00BB5986" w:rsidRDefault="007B23C0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/>
                <w:color w:val="000000" w:themeColor="text1"/>
                <w:lang w:val="uk-UA"/>
              </w:rPr>
              <w:t xml:space="preserve"> грн.,</w:t>
            </w:r>
          </w:p>
          <w:p w14:paraId="2D49F6B3" w14:textId="7E853323" w:rsidR="007B23C0" w:rsidRPr="00BB5986" w:rsidRDefault="007B23C0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/>
                <w:color w:val="000000" w:themeColor="text1"/>
                <w:lang w:val="uk-UA"/>
              </w:rPr>
              <w:t>з ПДВ</w:t>
            </w:r>
          </w:p>
          <w:p w14:paraId="17BB3D37" w14:textId="45802F7D" w:rsidR="007B23C0" w:rsidRPr="00BB5986" w:rsidRDefault="007B23C0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BB5986">
              <w:rPr>
                <w:rFonts w:ascii="Times New Roman" w:hAnsi="Times New Roman"/>
                <w:color w:val="000000" w:themeColor="text1"/>
                <w:lang w:val="uk-UA" w:eastAsia="ru-RU"/>
              </w:rPr>
              <w:t>Розмір бюджетного призначення визначений відповідно до кошторис</w:t>
            </w:r>
            <w:r w:rsidR="00C4680B" w:rsidRPr="00BB5986">
              <w:rPr>
                <w:rFonts w:ascii="Times New Roman" w:hAnsi="Times New Roman"/>
                <w:color w:val="000000" w:themeColor="text1"/>
                <w:lang w:val="uk-UA" w:eastAsia="ru-RU"/>
              </w:rPr>
              <w:t>них змін</w:t>
            </w:r>
            <w:r w:rsidRPr="00BB5986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на 202</w:t>
            </w:r>
            <w:r w:rsidR="00CE6E69">
              <w:rPr>
                <w:rFonts w:ascii="Times New Roman" w:hAnsi="Times New Roman"/>
                <w:color w:val="000000" w:themeColor="text1"/>
                <w:lang w:val="uk-UA" w:eastAsia="ru-RU"/>
              </w:rPr>
              <w:t>4</w:t>
            </w:r>
            <w:r w:rsidRPr="00BB5986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рік.</w:t>
            </w:r>
          </w:p>
          <w:p w14:paraId="6B2BFD25" w14:textId="77777777" w:rsidR="007B23C0" w:rsidRPr="00BB5986" w:rsidRDefault="007B23C0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</w:p>
          <w:p w14:paraId="27BD135A" w14:textId="25D5410F" w:rsidR="007B23C0" w:rsidRPr="00BB5986" w:rsidRDefault="00C4680B" w:rsidP="002E476D">
            <w:pPr>
              <w:tabs>
                <w:tab w:val="left" w:pos="276"/>
              </w:tabs>
              <w:spacing w:after="0" w:line="240" w:lineRule="auto"/>
              <w:ind w:right="108" w:firstLine="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  <w:t xml:space="preserve">КЕКВ </w:t>
            </w:r>
            <w:r w:rsidR="002E476D" w:rsidRPr="00BB5986"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  <w:t xml:space="preserve">2210 </w:t>
            </w:r>
            <w:r w:rsidR="002E476D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 Предмети, матеріали, обладнання та інвентар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CDE" w14:textId="5F6C861B" w:rsidR="007B23C0" w:rsidRPr="00BB5986" w:rsidRDefault="007B23C0" w:rsidP="007B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Відкриті торги з урахуванням особливостей (постанова КМУ 1178 від 12.10.2022)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AD4" w14:textId="63082591" w:rsidR="007B23C0" w:rsidRPr="00BB5986" w:rsidRDefault="007B23C0" w:rsidP="00BB598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5986">
              <w:rPr>
                <w:rFonts w:ascii="Times New Roman" w:hAnsi="Times New Roman" w:cs="Times New Roman"/>
                <w:color w:val="000000" w:themeColor="text1"/>
              </w:rPr>
              <w:t>Технічні та якісні характеристики предмета закупівлі визначені в</w:t>
            </w:r>
            <w:r w:rsidR="00446FB9" w:rsidRPr="00BB5986">
              <w:rPr>
                <w:rFonts w:ascii="Times New Roman" w:hAnsi="Times New Roman" w:cs="Times New Roman"/>
                <w:color w:val="000000" w:themeColor="text1"/>
              </w:rPr>
              <w:t>ідповідно до потреб замовника</w:t>
            </w:r>
            <w:r w:rsidRPr="00BB5986">
              <w:rPr>
                <w:rFonts w:ascii="Times New Roman" w:hAnsi="Times New Roman" w:cs="Times New Roman"/>
                <w:color w:val="000000" w:themeColor="text1"/>
              </w:rPr>
              <w:t xml:space="preserve"> з урахуванням</w:t>
            </w:r>
            <w:r w:rsidR="00470375" w:rsidRPr="00BB59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B5986" w:rsidRPr="00BB5986">
              <w:rPr>
                <w:rFonts w:ascii="Times New Roman" w:hAnsi="Times New Roman" w:cs="Times New Roman"/>
                <w:color w:val="000000" w:themeColor="text1"/>
              </w:rPr>
              <w:t xml:space="preserve">рішення </w:t>
            </w:r>
            <w:r w:rsidR="00446F06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виконавчого комітету </w:t>
            </w:r>
            <w:proofErr w:type="spellStart"/>
            <w:r w:rsidR="00446F06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Южноукр</w:t>
            </w:r>
            <w:r w:rsidR="00370118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аїнської</w:t>
            </w:r>
            <w:proofErr w:type="spellEnd"/>
            <w:r w:rsidR="00370118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міської ради № 91                 </w:t>
            </w:r>
            <w:r w:rsidR="00446F06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від 12.04.202</w:t>
            </w:r>
            <w:r w:rsidR="00823FAA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  <w:r w:rsidR="00446F06" w:rsidRPr="00BB59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</w:t>
            </w:r>
            <w:r w:rsidR="00446F06" w:rsidRPr="00BB5986">
              <w:rPr>
                <w:rFonts w:ascii="Times New Roman" w:hAnsi="Times New Roman" w:cs="Times New Roman"/>
                <w:color w:val="000000" w:themeColor="text1"/>
              </w:rPr>
              <w:t xml:space="preserve">Про затвердження номенклатури,  обсягів, Порядку створення та використання матеріального резерву </w:t>
            </w:r>
            <w:proofErr w:type="spellStart"/>
            <w:r w:rsidR="00446F06" w:rsidRPr="00BB5986">
              <w:rPr>
                <w:rFonts w:ascii="Times New Roman" w:hAnsi="Times New Roman" w:cs="Times New Roman"/>
                <w:color w:val="000000" w:themeColor="text1"/>
              </w:rPr>
              <w:t>Южноукраїнської</w:t>
            </w:r>
            <w:proofErr w:type="spellEnd"/>
            <w:r w:rsidR="00446F06" w:rsidRPr="00BB5986">
              <w:rPr>
                <w:rFonts w:ascii="Times New Roman" w:hAnsi="Times New Roman" w:cs="Times New Roman"/>
                <w:color w:val="000000" w:themeColor="text1"/>
              </w:rPr>
              <w:t xml:space="preserve"> міської територіальної громади для запобігання і ліквідації наслідків надзвичайних  ситуацій»</w:t>
            </w:r>
            <w:r w:rsidR="00446FB9" w:rsidRPr="00BB59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2B62" w:rsidRPr="00BB5986">
              <w:rPr>
                <w:rFonts w:ascii="Times New Roman" w:hAnsi="Times New Roman" w:cs="Times New Roman"/>
                <w:color w:val="000000" w:themeColor="text1"/>
              </w:rPr>
              <w:t xml:space="preserve">та </w:t>
            </w:r>
            <w:r w:rsidR="00446FB9" w:rsidRPr="00BB5986">
              <w:rPr>
                <w:rFonts w:ascii="Times New Roman" w:hAnsi="Times New Roman" w:cs="Times New Roman"/>
                <w:color w:val="000000" w:themeColor="text1"/>
                <w:spacing w:val="7"/>
                <w:shd w:val="clear" w:color="auto" w:fill="FFFFFF"/>
              </w:rPr>
              <w:t>оприлюднено Замовником у тендерній документації згідно з вимогами чинного законодавства.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EDE" w14:textId="628E0027" w:rsidR="002D79F2" w:rsidRPr="00BB5986" w:rsidRDefault="002F08D3" w:rsidP="00CE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bdr w:val="none" w:sz="0" w:space="0" w:color="auto" w:frame="1"/>
                <w:lang w:val="uk-UA"/>
              </w:rPr>
              <w:t xml:space="preserve">Очікувана вартість предмета закупівлі відповідає розміру бюджетного призначення. </w:t>
            </w:r>
            <w:r w:rsidRPr="00BB598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Розрахунок очікуваної вартості </w:t>
            </w:r>
            <w:r w:rsidR="00F92EF7" w:rsidRPr="00BB598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предмета закупівлі </w:t>
            </w:r>
            <w:r w:rsidRPr="00BB5986">
              <w:rPr>
                <w:rFonts w:ascii="Times New Roman" w:hAnsi="Times New Roman" w:cs="Times New Roman"/>
                <w:color w:val="000000" w:themeColor="text1"/>
                <w:lang w:val="uk-UA"/>
              </w:rPr>
              <w:t>здійснено керуючись пунктом першим частини першої  розділу ІІІ Примірної методики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№275 з у</w:t>
            </w:r>
            <w:r w:rsidRPr="00BB598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bdr w:val="none" w:sz="0" w:space="0" w:color="auto" w:frame="1"/>
                <w:lang w:val="uk-UA"/>
              </w:rPr>
              <w:t xml:space="preserve">рахуванням </w:t>
            </w:r>
            <w:r w:rsidRPr="00BB5986">
              <w:rPr>
                <w:rFonts w:ascii="Times New Roman" w:hAnsi="Times New Roman" w:cs="Times New Roman"/>
                <w:color w:val="000000" w:themeColor="text1"/>
                <w:spacing w:val="7"/>
                <w:shd w:val="clear" w:color="auto" w:fill="FFFFFF"/>
                <w:lang w:val="uk-UA"/>
              </w:rPr>
              <w:t xml:space="preserve">інформації щодо вартості предмета закупівлі, розміщеної в публічних джерелах, </w:t>
            </w:r>
            <w:r w:rsidRPr="00BB5986">
              <w:rPr>
                <w:rFonts w:ascii="Times New Roman" w:hAnsi="Times New Roman" w:cs="Times New Roman"/>
                <w:color w:val="000000" w:themeColor="text1"/>
                <w:spacing w:val="-10"/>
                <w:lang w:val="uk-UA"/>
              </w:rPr>
              <w:t>зокрема використовуюч</w:t>
            </w:r>
            <w:r w:rsidR="00CE6E69">
              <w:rPr>
                <w:rFonts w:ascii="Times New Roman" w:hAnsi="Times New Roman" w:cs="Times New Roman"/>
                <w:color w:val="000000" w:themeColor="text1"/>
                <w:spacing w:val="-10"/>
                <w:lang w:val="uk-UA"/>
              </w:rPr>
              <w:t>и метод порівняння ринкових цін.</w:t>
            </w:r>
          </w:p>
        </w:tc>
      </w:tr>
    </w:tbl>
    <w:p w14:paraId="5BA782D8" w14:textId="265B2103" w:rsidR="00DC30DC" w:rsidRPr="00E03BEB" w:rsidRDefault="00DC30DC" w:rsidP="00925B29">
      <w:pPr>
        <w:tabs>
          <w:tab w:val="left" w:pos="1140"/>
          <w:tab w:val="left" w:pos="3360"/>
          <w:tab w:val="left" w:pos="5565"/>
          <w:tab w:val="left" w:pos="6660"/>
        </w:tabs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5E80CCA" w14:textId="511B0D30" w:rsidR="00561BE3" w:rsidRPr="00E03BEB" w:rsidRDefault="00561BE3" w:rsidP="00D45751">
      <w:pPr>
        <w:tabs>
          <w:tab w:val="left" w:pos="1140"/>
          <w:tab w:val="left" w:pos="3360"/>
          <w:tab w:val="left" w:pos="5565"/>
          <w:tab w:val="left" w:pos="6660"/>
        </w:tabs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561BE3" w:rsidRPr="00E03BEB" w:rsidSect="003A56A3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E69"/>
    <w:multiLevelType w:val="multilevel"/>
    <w:tmpl w:val="91D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2333"/>
    <w:multiLevelType w:val="multilevel"/>
    <w:tmpl w:val="49E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C48E8"/>
    <w:multiLevelType w:val="multilevel"/>
    <w:tmpl w:val="55C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36CB4"/>
    <w:multiLevelType w:val="multilevel"/>
    <w:tmpl w:val="F3C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D04F6"/>
    <w:multiLevelType w:val="hybridMultilevel"/>
    <w:tmpl w:val="5896C6DE"/>
    <w:lvl w:ilvl="0" w:tplc="316E9B88">
      <w:start w:val="4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57C4"/>
    <w:multiLevelType w:val="hybridMultilevel"/>
    <w:tmpl w:val="71901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AD"/>
    <w:rsid w:val="00015E08"/>
    <w:rsid w:val="000161F5"/>
    <w:rsid w:val="00030658"/>
    <w:rsid w:val="000476B5"/>
    <w:rsid w:val="00053DE5"/>
    <w:rsid w:val="0007204E"/>
    <w:rsid w:val="00081B1E"/>
    <w:rsid w:val="000A6B1B"/>
    <w:rsid w:val="000C49C3"/>
    <w:rsid w:val="000D67EE"/>
    <w:rsid w:val="000F4FA3"/>
    <w:rsid w:val="00116DBA"/>
    <w:rsid w:val="001303DC"/>
    <w:rsid w:val="00146274"/>
    <w:rsid w:val="00146B38"/>
    <w:rsid w:val="00146DBF"/>
    <w:rsid w:val="001614FC"/>
    <w:rsid w:val="001677A6"/>
    <w:rsid w:val="00185A8D"/>
    <w:rsid w:val="001870E7"/>
    <w:rsid w:val="001F0869"/>
    <w:rsid w:val="00206331"/>
    <w:rsid w:val="002129C9"/>
    <w:rsid w:val="00233B0B"/>
    <w:rsid w:val="00257340"/>
    <w:rsid w:val="00293548"/>
    <w:rsid w:val="002A2E17"/>
    <w:rsid w:val="002A7FF5"/>
    <w:rsid w:val="002D6102"/>
    <w:rsid w:val="002D79F2"/>
    <w:rsid w:val="002E476D"/>
    <w:rsid w:val="002F08D3"/>
    <w:rsid w:val="00300A4C"/>
    <w:rsid w:val="00302487"/>
    <w:rsid w:val="00302C45"/>
    <w:rsid w:val="00307A1E"/>
    <w:rsid w:val="00312273"/>
    <w:rsid w:val="003418F6"/>
    <w:rsid w:val="00357D40"/>
    <w:rsid w:val="00370118"/>
    <w:rsid w:val="00395150"/>
    <w:rsid w:val="003A56A3"/>
    <w:rsid w:val="003B2B62"/>
    <w:rsid w:val="00440307"/>
    <w:rsid w:val="00446F06"/>
    <w:rsid w:val="00446FB9"/>
    <w:rsid w:val="00465271"/>
    <w:rsid w:val="00470375"/>
    <w:rsid w:val="00474311"/>
    <w:rsid w:val="004935E4"/>
    <w:rsid w:val="004C6CF9"/>
    <w:rsid w:val="004D0F05"/>
    <w:rsid w:val="004D2812"/>
    <w:rsid w:val="004D298E"/>
    <w:rsid w:val="004D3BB9"/>
    <w:rsid w:val="004F7376"/>
    <w:rsid w:val="0050419F"/>
    <w:rsid w:val="00541A00"/>
    <w:rsid w:val="00542D0C"/>
    <w:rsid w:val="0055227D"/>
    <w:rsid w:val="00561BE3"/>
    <w:rsid w:val="005666F0"/>
    <w:rsid w:val="00566A27"/>
    <w:rsid w:val="005B340C"/>
    <w:rsid w:val="005C0DAD"/>
    <w:rsid w:val="005C2688"/>
    <w:rsid w:val="005D08AC"/>
    <w:rsid w:val="005D4203"/>
    <w:rsid w:val="005D5FD8"/>
    <w:rsid w:val="00612E0E"/>
    <w:rsid w:val="006243E5"/>
    <w:rsid w:val="0065157F"/>
    <w:rsid w:val="0067296E"/>
    <w:rsid w:val="006A1178"/>
    <w:rsid w:val="006C0D97"/>
    <w:rsid w:val="006C2470"/>
    <w:rsid w:val="006C3387"/>
    <w:rsid w:val="006C64BD"/>
    <w:rsid w:val="006E2EF8"/>
    <w:rsid w:val="006E6C7F"/>
    <w:rsid w:val="006F2447"/>
    <w:rsid w:val="007046D5"/>
    <w:rsid w:val="0070737F"/>
    <w:rsid w:val="00707593"/>
    <w:rsid w:val="007134E8"/>
    <w:rsid w:val="007363D3"/>
    <w:rsid w:val="00740C0F"/>
    <w:rsid w:val="00742938"/>
    <w:rsid w:val="00743772"/>
    <w:rsid w:val="007725F4"/>
    <w:rsid w:val="007925ED"/>
    <w:rsid w:val="007B23C0"/>
    <w:rsid w:val="007D2037"/>
    <w:rsid w:val="007E7193"/>
    <w:rsid w:val="007F61F2"/>
    <w:rsid w:val="00806439"/>
    <w:rsid w:val="00822690"/>
    <w:rsid w:val="00823FAA"/>
    <w:rsid w:val="00825982"/>
    <w:rsid w:val="00830A76"/>
    <w:rsid w:val="00835661"/>
    <w:rsid w:val="00841E7D"/>
    <w:rsid w:val="008517C3"/>
    <w:rsid w:val="008939BB"/>
    <w:rsid w:val="008A1153"/>
    <w:rsid w:val="008A290C"/>
    <w:rsid w:val="008A52B1"/>
    <w:rsid w:val="008C163B"/>
    <w:rsid w:val="008E13B9"/>
    <w:rsid w:val="008E6063"/>
    <w:rsid w:val="008F382A"/>
    <w:rsid w:val="009004FC"/>
    <w:rsid w:val="009025C8"/>
    <w:rsid w:val="00910F91"/>
    <w:rsid w:val="00925B29"/>
    <w:rsid w:val="00931CA1"/>
    <w:rsid w:val="009540C3"/>
    <w:rsid w:val="009633DB"/>
    <w:rsid w:val="009B1E80"/>
    <w:rsid w:val="009C507E"/>
    <w:rsid w:val="00A11AE0"/>
    <w:rsid w:val="00A37CEC"/>
    <w:rsid w:val="00A47468"/>
    <w:rsid w:val="00A8172D"/>
    <w:rsid w:val="00A93DEF"/>
    <w:rsid w:val="00AD3042"/>
    <w:rsid w:val="00AE7C28"/>
    <w:rsid w:val="00B021EB"/>
    <w:rsid w:val="00B10138"/>
    <w:rsid w:val="00B16A36"/>
    <w:rsid w:val="00B22E23"/>
    <w:rsid w:val="00B3540E"/>
    <w:rsid w:val="00B43D17"/>
    <w:rsid w:val="00B635F3"/>
    <w:rsid w:val="00B77425"/>
    <w:rsid w:val="00B91586"/>
    <w:rsid w:val="00B921E3"/>
    <w:rsid w:val="00B97021"/>
    <w:rsid w:val="00BB5986"/>
    <w:rsid w:val="00BD7AF2"/>
    <w:rsid w:val="00C00EEE"/>
    <w:rsid w:val="00C014A8"/>
    <w:rsid w:val="00C148D3"/>
    <w:rsid w:val="00C27A37"/>
    <w:rsid w:val="00C4680B"/>
    <w:rsid w:val="00C52D96"/>
    <w:rsid w:val="00C906C3"/>
    <w:rsid w:val="00CB5D75"/>
    <w:rsid w:val="00CE1301"/>
    <w:rsid w:val="00CE254C"/>
    <w:rsid w:val="00CE6E69"/>
    <w:rsid w:val="00D053A1"/>
    <w:rsid w:val="00D3073E"/>
    <w:rsid w:val="00D45751"/>
    <w:rsid w:val="00D67218"/>
    <w:rsid w:val="00DA36A1"/>
    <w:rsid w:val="00DB47A7"/>
    <w:rsid w:val="00DC30DC"/>
    <w:rsid w:val="00DD404F"/>
    <w:rsid w:val="00E027C7"/>
    <w:rsid w:val="00E03BEB"/>
    <w:rsid w:val="00E24707"/>
    <w:rsid w:val="00E25C0A"/>
    <w:rsid w:val="00E2606A"/>
    <w:rsid w:val="00E37A36"/>
    <w:rsid w:val="00E53240"/>
    <w:rsid w:val="00E60CAA"/>
    <w:rsid w:val="00E6183B"/>
    <w:rsid w:val="00E832B1"/>
    <w:rsid w:val="00ED41BE"/>
    <w:rsid w:val="00EE1153"/>
    <w:rsid w:val="00F21C54"/>
    <w:rsid w:val="00F53525"/>
    <w:rsid w:val="00F92BA1"/>
    <w:rsid w:val="00F92EF7"/>
    <w:rsid w:val="00FA374F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F9CA"/>
  <w15:docId w15:val="{F13D74EA-408D-4DDB-97BC-EE91BEA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53DE5"/>
    <w:rPr>
      <w:b/>
      <w:bCs/>
    </w:rPr>
  </w:style>
  <w:style w:type="paragraph" w:styleId="a4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6">
    <w:name w:val="Emphasis"/>
    <w:basedOn w:val="a0"/>
    <w:uiPriority w:val="20"/>
    <w:qFormat/>
    <w:rsid w:val="00053DE5"/>
    <w:rPr>
      <w:i/>
      <w:iCs/>
    </w:rPr>
  </w:style>
  <w:style w:type="paragraph" w:styleId="a7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8">
    <w:name w:val="Balloon Text"/>
    <w:basedOn w:val="a"/>
    <w:link w:val="a9"/>
    <w:uiPriority w:val="99"/>
    <w:semiHidden/>
    <w:unhideWhenUsed/>
    <w:rsid w:val="006C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link w:val="22"/>
    <w:rsid w:val="005C2688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688"/>
    <w:pPr>
      <w:widowControl w:val="0"/>
      <w:shd w:val="clear" w:color="auto" w:fill="FFFFFF"/>
      <w:spacing w:before="240" w:after="240" w:line="0" w:lineRule="atLeast"/>
      <w:jc w:val="both"/>
    </w:pPr>
    <w:rPr>
      <w:rFonts w:eastAsia="Times New Roman" w:cs="Times New Roman"/>
    </w:rPr>
  </w:style>
  <w:style w:type="paragraph" w:styleId="aa">
    <w:name w:val="No Spacing"/>
    <w:link w:val="ab"/>
    <w:uiPriority w:val="1"/>
    <w:qFormat/>
    <w:rsid w:val="00302C45"/>
    <w:pPr>
      <w:spacing w:after="0" w:line="240" w:lineRule="auto"/>
    </w:pPr>
    <w:rPr>
      <w:lang w:val="uk-UA"/>
    </w:rPr>
  </w:style>
  <w:style w:type="character" w:customStyle="1" w:styleId="ab">
    <w:name w:val="Без интервала Знак"/>
    <w:basedOn w:val="a0"/>
    <w:link w:val="aa"/>
    <w:uiPriority w:val="1"/>
    <w:locked/>
    <w:rsid w:val="00302C45"/>
    <w:rPr>
      <w:lang w:val="uk-UA"/>
    </w:rPr>
  </w:style>
  <w:style w:type="character" w:customStyle="1" w:styleId="tendertuid2nhc4">
    <w:name w:val="tender__tuid__2nhc4"/>
    <w:basedOn w:val="a0"/>
    <w:rsid w:val="00302487"/>
  </w:style>
  <w:style w:type="character" w:customStyle="1" w:styleId="h-select-all">
    <w:name w:val="h-select-all"/>
    <w:basedOn w:val="a0"/>
    <w:rsid w:val="007D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6F45-7115-4D1B-8E28-72037D25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Бухгалтер УНС ВПО</cp:lastModifiedBy>
  <cp:revision>2</cp:revision>
  <cp:lastPrinted>2023-10-31T11:55:00Z</cp:lastPrinted>
  <dcterms:created xsi:type="dcterms:W3CDTF">2024-08-05T11:19:00Z</dcterms:created>
  <dcterms:modified xsi:type="dcterms:W3CDTF">2024-08-05T11:19:00Z</dcterms:modified>
</cp:coreProperties>
</file>