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336" w14:textId="77777777" w:rsidR="00925B29" w:rsidRPr="004B46D8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bookmarkStart w:id="0" w:name="_GoBack"/>
      <w:bookmarkEnd w:id="0"/>
    </w:p>
    <w:p w14:paraId="3F590D07" w14:textId="77777777" w:rsidR="00925B29" w:rsidRPr="004B46D8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184BE4E5" w14:textId="541E271E" w:rsidR="00440307" w:rsidRPr="004B46D8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B46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4B46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4B46D8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4B46D8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4B46D8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4B4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4B4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4B46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43480A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46D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Код </w:t>
      </w:r>
      <w:r w:rsidRPr="004348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ЄДРПОУ</w:t>
      </w:r>
      <w:r w:rsidR="00A8172D" w:rsidRPr="004348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4348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43480A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43480A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4348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434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434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434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4348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43480A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348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434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434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Юридична особа, яка забезпечує потреби держави або територіальної громади (юридична особа є розпорядником бюджетних коштів).</w:t>
      </w:r>
    </w:p>
    <w:p w14:paraId="1D6FE344" w14:textId="77777777" w:rsidR="00BB5B0E" w:rsidRPr="0043480A" w:rsidRDefault="006C64BD" w:rsidP="004348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 w:rsidRPr="004348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434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A8172D" w:rsidRPr="00434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5B0E" w:rsidRPr="00434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UA-2023-02-07-012463-a</w:t>
      </w:r>
    </w:p>
    <w:p w14:paraId="627C6182" w14:textId="686E795F" w:rsidR="002129C9" w:rsidRPr="004B46D8" w:rsidRDefault="002129C9" w:rsidP="00BB5B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B46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4B46D8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B46D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4B46D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4B46D8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B46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4B46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4B46D8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3"/>
        <w:gridCol w:w="1985"/>
        <w:gridCol w:w="1834"/>
        <w:gridCol w:w="3827"/>
        <w:gridCol w:w="3800"/>
      </w:tblGrid>
      <w:tr w:rsidR="004B46D8" w:rsidRPr="004B46D8" w14:paraId="774603C1" w14:textId="77777777" w:rsidTr="00307A1E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4B46D8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4B46D8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4B46D8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4B46D8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4B46D8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4B46D8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4B46D8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4B46D8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4B46D8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4B46D8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4B46D8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4B46D8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4B46D8" w:rsidRPr="004B46D8" w14:paraId="6A2951A4" w14:textId="77777777" w:rsidTr="00307A1E">
        <w:trPr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4B46D8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4B46D8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4B46D8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4B46D8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4B46D8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4B46D8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4B46D8" w:rsidRPr="004B46D8" w14:paraId="3A6EE96D" w14:textId="77777777" w:rsidTr="00307A1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4B46D8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4B46D8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4B46D8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4B46D8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4B46D8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4B46D8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5C50DB" w:rsidRPr="004B46D8" w14:paraId="0B55DDAB" w14:textId="77777777" w:rsidTr="005C50DB">
        <w:trPr>
          <w:trHeight w:val="15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A93DEF" w:rsidRPr="004B46D8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5B5" w14:textId="77777777" w:rsid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0A">
              <w:rPr>
                <w:rFonts w:ascii="Times New Roman" w:hAnsi="Times New Roman" w:cs="Times New Roman"/>
                <w:sz w:val="20"/>
                <w:szCs w:val="20"/>
              </w:rPr>
              <w:t>Послуги з обслуговування програмного забезпечення системи відеос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постереження в м. Южноукраїнськ  </w:t>
            </w:r>
          </w:p>
          <w:p w14:paraId="1B1751BF" w14:textId="77777777" w:rsid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7DA03" w14:textId="77777777" w:rsid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385D3" w14:textId="77777777" w:rsid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1B63D" w14:textId="77777777" w:rsid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F78E7" w14:textId="77777777" w:rsid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0A">
              <w:rPr>
                <w:rFonts w:ascii="Times New Roman" w:hAnsi="Times New Roman" w:cs="Times New Roman"/>
                <w:sz w:val="20"/>
                <w:szCs w:val="20"/>
              </w:rPr>
              <w:t xml:space="preserve"> код ДК 021:2015</w:t>
            </w:r>
          </w:p>
          <w:p w14:paraId="7570A5B1" w14:textId="2A2E16F4" w:rsidR="0043480A" w:rsidRPr="0043480A" w:rsidRDefault="0043480A" w:rsidP="0043480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3480A">
              <w:rPr>
                <w:rFonts w:ascii="Times New Roman" w:hAnsi="Times New Roman" w:cs="Times New Roman"/>
                <w:sz w:val="20"/>
                <w:szCs w:val="20"/>
              </w:rPr>
              <w:t>72261000-2 Послуги з обслуговування програмного забезпечення</w:t>
            </w:r>
            <w:r w:rsidRPr="004348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60DD601D" w14:textId="6CD65465" w:rsidR="00822690" w:rsidRPr="004B46D8" w:rsidRDefault="00822690" w:rsidP="00822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F50" w14:textId="22FA777E" w:rsidR="005C2688" w:rsidRPr="004B46D8" w:rsidRDefault="0043480A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168 370,00</w:t>
            </w:r>
            <w:r w:rsidR="005C2688" w:rsidRPr="004B46D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грн.,</w:t>
            </w:r>
          </w:p>
          <w:p w14:paraId="2D49F6B3" w14:textId="7E853323" w:rsidR="005C2688" w:rsidRPr="004B46D8" w:rsidRDefault="005C2688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 ПДВ</w:t>
            </w:r>
          </w:p>
          <w:p w14:paraId="17BB3D37" w14:textId="6E631BBC" w:rsidR="005C2688" w:rsidRPr="004B46D8" w:rsidRDefault="008C163B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B46D8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Розмір бюджетного призначення </w:t>
            </w:r>
            <w:r w:rsidR="005C2688" w:rsidRPr="004B46D8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визначений відповідно до кошторису на 2023 рік.</w:t>
            </w:r>
          </w:p>
          <w:p w14:paraId="6B2BFD25" w14:textId="77777777" w:rsidR="005B340C" w:rsidRPr="004B46D8" w:rsidRDefault="005B340C" w:rsidP="008E13B9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27BD135A" w14:textId="7D175051" w:rsidR="00A93DEF" w:rsidRPr="004B46D8" w:rsidRDefault="005C2688" w:rsidP="008E13B9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КЕКВ </w:t>
            </w:r>
            <w:r w:rsidR="00146274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2240 Оплата послуг (крім комунальних)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A93DEF" w:rsidRPr="004B46D8" w:rsidRDefault="00C148D3" w:rsidP="008E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03089F75" w:rsidR="005C50DB" w:rsidRPr="004B46D8" w:rsidRDefault="004B46D8" w:rsidP="005C50DB">
            <w:pPr>
              <w:tabs>
                <w:tab w:val="left" w:pos="-72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діючого законодавства. </w:t>
            </w:r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На всіх об’єктах системи відеоспостереження міста Южноукраїнська встановлено та функціонує програмне забезпечення </w:t>
            </w:r>
            <w:proofErr w:type="spellStart"/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SecurOs</w:t>
            </w:r>
            <w:proofErr w:type="spellEnd"/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та здебільшого камери та мережеве обладнання виробництва компанії </w:t>
            </w:r>
            <w:proofErr w:type="spellStart"/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Vivotek</w:t>
            </w:r>
            <w:proofErr w:type="spellEnd"/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Необхідно постійно проводити технічну підтримку з обслуговування програмного забезпечення, а саме: оновлення та налаштування програмного забезпечення мережевого обладнання, відеокамер, операційних систем серверу відеоспостереження та робочих місць операторів, систем керування базами даних.</w:t>
            </w:r>
            <w:r w:rsid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Обслуговування вклю</w:t>
            </w:r>
            <w:r w:rsid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ча</w:t>
            </w:r>
            <w:r w:rsidR="005C50DB" w:rsidRP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є в себе:</w:t>
            </w:r>
            <w:r w:rsidR="005C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 w:rsidR="005C50DB" w:rsidRPr="005C50D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еревірку стану та функціонування програмного забезпеч</w:t>
            </w:r>
            <w:r w:rsidR="005C50D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ення системи відеоспостереження; п</w:t>
            </w:r>
            <w:r w:rsidR="005C50DB" w:rsidRPr="005C50D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еревірку стану спеціалізованого програмного </w:t>
            </w:r>
            <w:r w:rsidR="005C50DB" w:rsidRPr="005C50D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забезпечення щодо перезавантаження серверу та програмних засобів з метою уникнення непередба</w:t>
            </w:r>
            <w:r w:rsidR="005C50D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чених випадків і збоїв у роботі; п</w:t>
            </w:r>
            <w:r w:rsidR="005C50DB" w:rsidRPr="005C50DB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еревірку видачі сигналу з обладнання системи відеоспостереження, встановленого на її об’єктах.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978B" w14:textId="60A611B3" w:rsidR="00185A8D" w:rsidRPr="004B46D8" w:rsidRDefault="00F53525" w:rsidP="008E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uk-UA"/>
              </w:rPr>
            </w:pPr>
            <w:r w:rsidRPr="004B46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 xml:space="preserve">Очікувана вартість предмета закупівлі </w:t>
            </w:r>
            <w:r w:rsidR="00185A8D" w:rsidRPr="004B46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>відповідає розміру бюджетного призначення.</w:t>
            </w:r>
            <w:r w:rsidR="007725F4" w:rsidRPr="004B46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Розрахунок очікуваної вартості послуг здійснено керуючись </w:t>
            </w:r>
            <w:r w:rsidR="006243E5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пунктом першим </w:t>
            </w:r>
            <w:r w:rsidR="00AD3042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частин</w:t>
            </w:r>
            <w:r w:rsidR="006243E5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 першої</w:t>
            </w:r>
            <w:r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розділу ІІІ</w:t>
            </w:r>
            <w:r w:rsidR="000476B5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Примірної методики визначення очікуваної вартості предмета закупівлі, що затверджена наказом Мін</w:t>
            </w:r>
            <w:r w:rsidR="000476B5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істерства розвитку економіки, торгівлі та сільського господарства України </w:t>
            </w:r>
            <w:r w:rsidR="005B340C" w:rsidRPr="004B4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18.02.2020 №275 та з у</w:t>
            </w:r>
            <w:r w:rsidR="007725F4" w:rsidRPr="004B46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рахуванням </w:t>
            </w:r>
            <w:r w:rsidR="00B10138" w:rsidRPr="004B46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>наданих послуг в попередніх роках</w:t>
            </w:r>
            <w:r w:rsidR="00F21C54" w:rsidRPr="004B46D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uk-UA"/>
              </w:rPr>
              <w:t>.</w:t>
            </w:r>
          </w:p>
          <w:p w14:paraId="763FDEDE" w14:textId="1016EEC4" w:rsidR="00185A8D" w:rsidRPr="004B46D8" w:rsidRDefault="00185A8D" w:rsidP="008E1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5BA782D8" w14:textId="1DD6FD82" w:rsidR="00DC30DC" w:rsidRPr="004B46D8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4B46D8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4B46D8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7A7D"/>
    <w:multiLevelType w:val="hybridMultilevel"/>
    <w:tmpl w:val="7416E1B6"/>
    <w:lvl w:ilvl="0" w:tplc="83E80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7607"/>
    <w:multiLevelType w:val="hybridMultilevel"/>
    <w:tmpl w:val="3EA23050"/>
    <w:lvl w:ilvl="0" w:tplc="34620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161F5"/>
    <w:rsid w:val="00030658"/>
    <w:rsid w:val="000476B5"/>
    <w:rsid w:val="00053DE5"/>
    <w:rsid w:val="000A6B1B"/>
    <w:rsid w:val="000D67EE"/>
    <w:rsid w:val="000F4FA3"/>
    <w:rsid w:val="00116DBA"/>
    <w:rsid w:val="00146274"/>
    <w:rsid w:val="00146B38"/>
    <w:rsid w:val="00146DBF"/>
    <w:rsid w:val="001614FC"/>
    <w:rsid w:val="00162E23"/>
    <w:rsid w:val="001677A6"/>
    <w:rsid w:val="00185A8D"/>
    <w:rsid w:val="001870E7"/>
    <w:rsid w:val="001F0869"/>
    <w:rsid w:val="00206331"/>
    <w:rsid w:val="002129C9"/>
    <w:rsid w:val="00293548"/>
    <w:rsid w:val="002A2E17"/>
    <w:rsid w:val="002A7FF5"/>
    <w:rsid w:val="002D6102"/>
    <w:rsid w:val="00300A4C"/>
    <w:rsid w:val="00302487"/>
    <w:rsid w:val="00302C45"/>
    <w:rsid w:val="00307A1E"/>
    <w:rsid w:val="00312273"/>
    <w:rsid w:val="003418F6"/>
    <w:rsid w:val="00395150"/>
    <w:rsid w:val="003A56A3"/>
    <w:rsid w:val="0043480A"/>
    <w:rsid w:val="00440307"/>
    <w:rsid w:val="00465271"/>
    <w:rsid w:val="00474311"/>
    <w:rsid w:val="004B46D8"/>
    <w:rsid w:val="004C6CF9"/>
    <w:rsid w:val="004D0F05"/>
    <w:rsid w:val="004D2812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C50DB"/>
    <w:rsid w:val="005D08AC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134E8"/>
    <w:rsid w:val="007363D3"/>
    <w:rsid w:val="00740C0F"/>
    <w:rsid w:val="00743772"/>
    <w:rsid w:val="007725F4"/>
    <w:rsid w:val="007925ED"/>
    <w:rsid w:val="007E7193"/>
    <w:rsid w:val="007F61F2"/>
    <w:rsid w:val="00822690"/>
    <w:rsid w:val="00825982"/>
    <w:rsid w:val="00830A76"/>
    <w:rsid w:val="00835661"/>
    <w:rsid w:val="00841E7D"/>
    <w:rsid w:val="008517C3"/>
    <w:rsid w:val="008939BB"/>
    <w:rsid w:val="008A1153"/>
    <w:rsid w:val="008A290C"/>
    <w:rsid w:val="008C163B"/>
    <w:rsid w:val="008E13B9"/>
    <w:rsid w:val="008E6063"/>
    <w:rsid w:val="008F382A"/>
    <w:rsid w:val="009025C8"/>
    <w:rsid w:val="00910F91"/>
    <w:rsid w:val="00925B29"/>
    <w:rsid w:val="009540C3"/>
    <w:rsid w:val="009633DB"/>
    <w:rsid w:val="009B1E80"/>
    <w:rsid w:val="009C507E"/>
    <w:rsid w:val="00A02D98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921E3"/>
    <w:rsid w:val="00B97021"/>
    <w:rsid w:val="00BB5B0E"/>
    <w:rsid w:val="00BD7AF2"/>
    <w:rsid w:val="00C014A8"/>
    <w:rsid w:val="00C148D3"/>
    <w:rsid w:val="00C27A37"/>
    <w:rsid w:val="00C52D96"/>
    <w:rsid w:val="00C906C3"/>
    <w:rsid w:val="00CE1301"/>
    <w:rsid w:val="00CE254C"/>
    <w:rsid w:val="00D053A1"/>
    <w:rsid w:val="00D3073E"/>
    <w:rsid w:val="00D45751"/>
    <w:rsid w:val="00D67218"/>
    <w:rsid w:val="00DB47A7"/>
    <w:rsid w:val="00DC30DC"/>
    <w:rsid w:val="00E24707"/>
    <w:rsid w:val="00E25C0A"/>
    <w:rsid w:val="00E2606A"/>
    <w:rsid w:val="00E37A36"/>
    <w:rsid w:val="00E53240"/>
    <w:rsid w:val="00E60CAA"/>
    <w:rsid w:val="00ED41BE"/>
    <w:rsid w:val="00EE1153"/>
    <w:rsid w:val="00F21C54"/>
    <w:rsid w:val="00F53525"/>
    <w:rsid w:val="00F92BA1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8C965064-371B-49FD-9AA5-C5B428E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aliases w:val="EBRD List,CA bullets,Текст таблицы,AC List 01"/>
    <w:basedOn w:val="a"/>
    <w:link w:val="a8"/>
    <w:uiPriority w:val="1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Balloon Text"/>
    <w:basedOn w:val="a"/>
    <w:link w:val="aa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b">
    <w:name w:val="No Spacing"/>
    <w:link w:val="ac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c">
    <w:name w:val="Без інтервалів Знак"/>
    <w:basedOn w:val="a0"/>
    <w:link w:val="ab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character" w:customStyle="1" w:styleId="a8">
    <w:name w:val="Абзац списку Знак"/>
    <w:aliases w:val="EBRD List Знак,CA bullets Знак,Текст таблицы Знак,AC List 01 Знак"/>
    <w:link w:val="a7"/>
    <w:uiPriority w:val="1"/>
    <w:locked/>
    <w:rsid w:val="00A02D98"/>
  </w:style>
  <w:style w:type="paragraph" w:customStyle="1" w:styleId="Default">
    <w:name w:val="Default"/>
    <w:rsid w:val="004348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5C1A-546C-4AE3-A7ED-7D34363B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2023-02-08T06:17:00Z</cp:lastPrinted>
  <dcterms:created xsi:type="dcterms:W3CDTF">2023-02-08T06:17:00Z</dcterms:created>
  <dcterms:modified xsi:type="dcterms:W3CDTF">2023-02-08T06:17:00Z</dcterms:modified>
</cp:coreProperties>
</file>