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0336" w14:textId="77777777" w:rsidR="00925B29" w:rsidRPr="001614FC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F590D07" w14:textId="77777777" w:rsidR="00925B29" w:rsidRPr="001614FC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84BE4E5" w14:textId="541E271E" w:rsidR="00440307" w:rsidRPr="001614FC" w:rsidRDefault="00440307" w:rsidP="000A6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614F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161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6102" w:rsidRPr="001614FC">
        <w:rPr>
          <w:rFonts w:ascii="Times New Roman" w:hAnsi="Times New Roman"/>
          <w:bCs/>
          <w:kern w:val="3"/>
          <w:sz w:val="24"/>
          <w:szCs w:val="24"/>
          <w:lang w:val="uk-UA"/>
        </w:rPr>
        <w:t xml:space="preserve">Управління з питань надзвичайних ситуацій та взаємодії з правоохоронними органами </w:t>
      </w:r>
      <w:proofErr w:type="spellStart"/>
      <w:r w:rsidR="002D6102" w:rsidRPr="001614FC">
        <w:rPr>
          <w:rFonts w:ascii="Times New Roman" w:hAnsi="Times New Roman"/>
          <w:bCs/>
          <w:kern w:val="3"/>
          <w:sz w:val="24"/>
          <w:szCs w:val="24"/>
          <w:lang w:val="uk-UA"/>
        </w:rPr>
        <w:t>Южноукраїнської</w:t>
      </w:r>
      <w:proofErr w:type="spellEnd"/>
      <w:r w:rsidR="002D6102" w:rsidRPr="001614FC">
        <w:rPr>
          <w:rFonts w:ascii="Times New Roman" w:hAnsi="Times New Roman"/>
          <w:bCs/>
          <w:kern w:val="3"/>
          <w:sz w:val="24"/>
          <w:szCs w:val="24"/>
          <w:lang w:val="uk-UA"/>
        </w:rPr>
        <w:t xml:space="preserve"> міської ради</w:t>
      </w:r>
      <w:r w:rsidRPr="001614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614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614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14:paraId="3298E5B5" w14:textId="2A60A2B5" w:rsidR="00440307" w:rsidRPr="001614FC" w:rsidRDefault="00440307" w:rsidP="000A6B1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14FC">
        <w:rPr>
          <w:rFonts w:ascii="Times New Roman" w:hAnsi="Times New Roman" w:cs="Times New Roman"/>
          <w:b/>
          <w:sz w:val="24"/>
          <w:szCs w:val="24"/>
          <w:lang w:val="uk-UA"/>
        </w:rPr>
        <w:t>Код ЄДРПОУ</w:t>
      </w:r>
      <w:r w:rsidR="00A8172D" w:rsidRPr="001614F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D6102" w:rsidRPr="001614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6102" w:rsidRPr="001614FC">
        <w:rPr>
          <w:rFonts w:ascii="Times New Roman" w:hAnsi="Times New Roman"/>
          <w:bCs/>
          <w:sz w:val="24"/>
          <w:szCs w:val="24"/>
          <w:lang w:val="uk-UA"/>
        </w:rPr>
        <w:t>24548027</w:t>
      </w:r>
    </w:p>
    <w:p w14:paraId="2823F93A" w14:textId="77777777" w:rsidR="002D6102" w:rsidRPr="00302487" w:rsidRDefault="00440307" w:rsidP="000A6B1B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14FC">
        <w:rPr>
          <w:rFonts w:ascii="Times New Roman" w:hAnsi="Times New Roman" w:cs="Times New Roman"/>
          <w:b/>
          <w:sz w:val="24"/>
          <w:szCs w:val="24"/>
          <w:lang w:val="uk-UA"/>
        </w:rPr>
        <w:t>Адреса</w:t>
      </w:r>
      <w:r w:rsidRPr="001614F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D6102" w:rsidRPr="001614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55000, </w:t>
      </w:r>
      <w:r w:rsidR="002D6102" w:rsidRPr="003024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Миколаївська область,  м. Южноукраїнськ, вулиця Дружби Народів, 23 </w:t>
      </w:r>
      <w:proofErr w:type="spellStart"/>
      <w:r w:rsidR="002D6102" w:rsidRPr="00302487">
        <w:rPr>
          <w:rFonts w:ascii="Times New Roman" w:eastAsia="Calibri" w:hAnsi="Times New Roman" w:cs="Times New Roman"/>
          <w:sz w:val="24"/>
          <w:szCs w:val="24"/>
          <w:lang w:val="uk-UA"/>
        </w:rPr>
        <w:t>кімн</w:t>
      </w:r>
      <w:proofErr w:type="spellEnd"/>
      <w:r w:rsidR="002D6102" w:rsidRPr="00302487">
        <w:rPr>
          <w:rFonts w:ascii="Times New Roman" w:eastAsia="Calibri" w:hAnsi="Times New Roman" w:cs="Times New Roman"/>
          <w:sz w:val="24"/>
          <w:szCs w:val="24"/>
          <w:lang w:val="uk-UA"/>
        </w:rPr>
        <w:t>. 94.</w:t>
      </w:r>
    </w:p>
    <w:p w14:paraId="682B196F" w14:textId="7F39ACDC" w:rsidR="002D6102" w:rsidRPr="00302487" w:rsidRDefault="00440307" w:rsidP="000A6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487">
        <w:rPr>
          <w:rFonts w:ascii="Times New Roman" w:hAnsi="Times New Roman" w:cs="Times New Roman"/>
          <w:b/>
          <w:sz w:val="24"/>
          <w:szCs w:val="24"/>
          <w:lang w:val="uk-UA"/>
        </w:rPr>
        <w:t>Категорія:</w:t>
      </w:r>
      <w:r w:rsidRPr="00302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6102" w:rsidRPr="00302487">
        <w:rPr>
          <w:rFonts w:ascii="Times New Roman" w:hAnsi="Times New Roman" w:cs="Times New Roman"/>
          <w:sz w:val="24"/>
          <w:szCs w:val="24"/>
          <w:lang w:val="uk-UA"/>
        </w:rPr>
        <w:t>Юридична особа, яка забезпечує потреби держави або територіальної громади (юридична особа є розпорядником бюджетних коштів).</w:t>
      </w:r>
    </w:p>
    <w:p w14:paraId="63255964" w14:textId="5A6F5A76" w:rsidR="000A6B1B" w:rsidRPr="00302487" w:rsidRDefault="006C64BD" w:rsidP="006F2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024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</w:t>
      </w:r>
      <w:r w:rsidRPr="0030248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закупівлі</w:t>
      </w:r>
      <w:r w:rsidRPr="003024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A8172D" w:rsidRPr="003024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02487" w:rsidRPr="00302487">
        <w:rPr>
          <w:rStyle w:val="tendertuid2nhc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UA</w:t>
      </w:r>
      <w:r w:rsidR="00302487" w:rsidRPr="00302487">
        <w:rPr>
          <w:rStyle w:val="tendertuid2nhc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-2023-02-06-004045-</w:t>
      </w:r>
      <w:r w:rsidR="00302487" w:rsidRPr="00302487">
        <w:rPr>
          <w:rStyle w:val="tendertuid2nhc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</w:t>
      </w:r>
    </w:p>
    <w:p w14:paraId="627C6182" w14:textId="1E579BC7" w:rsidR="002129C9" w:rsidRPr="001614FC" w:rsidRDefault="002129C9" w:rsidP="00300A4C">
      <w:pPr>
        <w:tabs>
          <w:tab w:val="left" w:pos="1260"/>
          <w:tab w:val="left" w:pos="234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14F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</w:t>
      </w:r>
    </w:p>
    <w:p w14:paraId="58B59908" w14:textId="77777777" w:rsidR="007E7193" w:rsidRPr="001614FC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14FC">
        <w:rPr>
          <w:rFonts w:ascii="Times New Roman" w:hAnsi="Times New Roman" w:cs="Times New Roman"/>
          <w:bCs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="007E7193" w:rsidRPr="001614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9BCBBD2" w14:textId="2922A073" w:rsidR="002129C9" w:rsidRPr="001614FC" w:rsidRDefault="007E7193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14F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52D96" w:rsidRPr="001614FC">
        <w:rPr>
          <w:rFonts w:ascii="Times New Roman" w:hAnsi="Times New Roman" w:cs="Times New Roman"/>
          <w:sz w:val="24"/>
          <w:szCs w:val="24"/>
          <w:lang w:val="uk-UA"/>
        </w:rPr>
        <w:t>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87E410D" w14:textId="77777777" w:rsidR="00561BE3" w:rsidRPr="001614FC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uk-UA"/>
        </w:rPr>
      </w:pP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3"/>
        <w:gridCol w:w="1985"/>
        <w:gridCol w:w="1834"/>
        <w:gridCol w:w="3827"/>
        <w:gridCol w:w="3800"/>
      </w:tblGrid>
      <w:tr w:rsidR="001614FC" w:rsidRPr="001614FC" w14:paraId="774603C1" w14:textId="77777777" w:rsidTr="00307A1E">
        <w:trPr>
          <w:trHeight w:val="2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A93DEF" w:rsidRPr="001614FC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3A2E4" w14:textId="77777777" w:rsidR="00A93DEF" w:rsidRPr="001614FC" w:rsidRDefault="00440307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14FC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CF90B" w14:textId="77777777" w:rsidR="00A93DEF" w:rsidRPr="001614FC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14FC"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Очікувана вартість та/або розмір бюджетного призначення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A46" w14:textId="77777777" w:rsidR="000F4FA3" w:rsidRPr="001614FC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F1A39A6" w14:textId="77777777" w:rsidR="000F4FA3" w:rsidRPr="001614FC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C227451" w14:textId="77777777" w:rsidR="000F4FA3" w:rsidRPr="001614FC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70D512B0" w14:textId="77777777" w:rsidR="000F4FA3" w:rsidRPr="001614FC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93AE888" w14:textId="77777777" w:rsidR="000F4FA3" w:rsidRPr="001614FC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F76B92" w14:textId="77777777" w:rsidR="000F4FA3" w:rsidRPr="001614FC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4"/>
                <w:szCs w:val="4"/>
                <w:lang w:val="uk-UA"/>
              </w:rPr>
            </w:pPr>
          </w:p>
          <w:p w14:paraId="65E6826C" w14:textId="7A9782F9" w:rsidR="00A93DEF" w:rsidRPr="001614FC" w:rsidRDefault="00B16A36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14FC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Вид</w:t>
            </w:r>
            <w:r w:rsidR="00A93DEF" w:rsidRPr="001614FC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6E3" w14:textId="77777777" w:rsidR="00A93DEF" w:rsidRPr="001614FC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Обґрунтування</w:t>
            </w:r>
          </w:p>
        </w:tc>
      </w:tr>
      <w:tr w:rsidR="001614FC" w:rsidRPr="001614FC" w14:paraId="6A2951A4" w14:textId="77777777" w:rsidTr="00307A1E">
        <w:trPr>
          <w:trHeight w:val="45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A93DEF" w:rsidRPr="001614FC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A93DEF" w:rsidRPr="001614FC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77777777" w:rsidR="00A93DEF" w:rsidRPr="001614FC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C4" w14:textId="77777777" w:rsidR="00A93DEF" w:rsidRPr="001614FC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77777777" w:rsidR="00A93DEF" w:rsidRPr="001614FC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77777777" w:rsidR="00A93DEF" w:rsidRPr="001614FC" w:rsidRDefault="00A93DEF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очікуваної вартості закупівлі</w:t>
            </w:r>
          </w:p>
        </w:tc>
      </w:tr>
      <w:tr w:rsidR="001614FC" w:rsidRPr="001614FC" w14:paraId="3A6EE96D" w14:textId="77777777" w:rsidTr="00307A1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A93DEF" w:rsidRPr="001614FC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A93DEF" w:rsidRPr="001614FC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77777777" w:rsidR="00A93DEF" w:rsidRPr="001614FC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D68" w14:textId="10E8C628" w:rsidR="00A93DEF" w:rsidRPr="001614FC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12BF3832" w:rsidR="00A93DEF" w:rsidRPr="001614FC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1C44F560" w:rsidR="00A93DEF" w:rsidRPr="001614FC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614FC" w:rsidRPr="00302487" w14:paraId="0B55DDAB" w14:textId="77777777" w:rsidTr="00F53525">
        <w:trPr>
          <w:trHeight w:val="35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A93DEF" w:rsidRPr="001614FC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0170" w14:textId="6B93349B" w:rsidR="00D45751" w:rsidRPr="001614FC" w:rsidRDefault="00300A4C" w:rsidP="008E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технічного обслуговування місцевої автоматизованої системи централізованого оповіщення в               </w:t>
            </w:r>
            <w:r w:rsidR="00D45751"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м. Южно</w:t>
            </w:r>
            <w:r w:rsidR="00541A00"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 Миколаївської області</w:t>
            </w:r>
          </w:p>
          <w:p w14:paraId="28FCBC22" w14:textId="77777777" w:rsidR="00D45751" w:rsidRPr="001614FC" w:rsidRDefault="00D45751" w:rsidP="008E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0DD601D" w14:textId="1873BCD4" w:rsidR="00A93DEF" w:rsidRPr="001614FC" w:rsidRDefault="00300A4C" w:rsidP="008E1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ДК 021:2015 50330000-7 Послуги з технічного обслуговування телекомунікаційного обладнання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F50" w14:textId="169722FE" w:rsidR="005C2688" w:rsidRPr="001614FC" w:rsidRDefault="005C2688" w:rsidP="008E13B9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/>
                <w:sz w:val="20"/>
                <w:szCs w:val="20"/>
                <w:lang w:val="uk-UA"/>
              </w:rPr>
              <w:t>145 620,00 грн.,</w:t>
            </w:r>
          </w:p>
          <w:p w14:paraId="2D49F6B3" w14:textId="7E853323" w:rsidR="005C2688" w:rsidRPr="001614FC" w:rsidRDefault="005C2688" w:rsidP="008E13B9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/>
                <w:sz w:val="20"/>
                <w:szCs w:val="20"/>
                <w:lang w:val="uk-UA"/>
              </w:rPr>
              <w:t>з ПДВ</w:t>
            </w:r>
          </w:p>
          <w:p w14:paraId="17BB3D37" w14:textId="6E631BBC" w:rsidR="005C2688" w:rsidRPr="001614FC" w:rsidRDefault="008C163B" w:rsidP="008E13B9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614F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Розмір бюджетного призначення </w:t>
            </w:r>
            <w:r w:rsidR="005C2688" w:rsidRPr="001614F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визначений відповідно до кошторису на 2023 рік.</w:t>
            </w:r>
          </w:p>
          <w:p w14:paraId="6B2BFD25" w14:textId="77777777" w:rsidR="005B340C" w:rsidRPr="001614FC" w:rsidRDefault="005B340C" w:rsidP="008E13B9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27BD135A" w14:textId="7D175051" w:rsidR="00A93DEF" w:rsidRPr="001614FC" w:rsidRDefault="005C2688" w:rsidP="008E13B9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КЕКВ </w:t>
            </w:r>
            <w:r w:rsidR="00146274" w:rsidRPr="001614F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2240 Оплата послуг (крім комунальних)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CDE" w14:textId="5F6C861B" w:rsidR="00A93DEF" w:rsidRPr="001614FC" w:rsidRDefault="00C148D3" w:rsidP="008E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 з урахуванням особливостей (постанова КМУ 1178 від 12.10.2022)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AD4" w14:textId="6B0FE677" w:rsidR="00E25C0A" w:rsidRPr="001614FC" w:rsidRDefault="00302C45" w:rsidP="008E13B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14FC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Одним із основних завдань захисту населення і територій під час надзвичайних ситуацій, воєнного стану є організація оповіщення населення про загрозу та виникнення надзвичайної ситуації,  а також своєчасне та достовірне інформування про наявну обстановку і вжиті заходи. </w:t>
            </w:r>
            <w:r w:rsidR="008C163B" w:rsidRPr="001614F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Технічні та якісні характеристики предмета закупівлі </w:t>
            </w:r>
            <w:r w:rsidR="001677A6" w:rsidRPr="001614F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визначені відповідно до потреб замовника та </w:t>
            </w:r>
            <w:r w:rsidR="008C163B" w:rsidRPr="001614F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складені відповідно до норм чинного законодавства. </w:t>
            </w:r>
            <w:r w:rsidR="00D3073E" w:rsidRPr="001614FC">
              <w:rPr>
                <w:rFonts w:ascii="Times New Roman" w:hAnsi="Times New Roman" w:cs="Times New Roman"/>
                <w:sz w:val="20"/>
                <w:szCs w:val="20"/>
              </w:rPr>
              <w:t xml:space="preserve">Послуги проводяться з метою підтримки працездатності обладнання місцевої автоматизованої системи централізованого оповіщення </w:t>
            </w:r>
            <w:r w:rsidR="00312273" w:rsidRPr="001614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C24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3073E" w:rsidRPr="001614FC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="00D3073E" w:rsidRPr="001614FC">
              <w:rPr>
                <w:rFonts w:ascii="Times New Roman" w:hAnsi="Times New Roman"/>
                <w:sz w:val="20"/>
                <w:szCs w:val="20"/>
              </w:rPr>
              <w:t>Южноукраїнськ Миколаївської області</w:t>
            </w:r>
            <w:r w:rsidR="00312273" w:rsidRPr="001614FC">
              <w:rPr>
                <w:rFonts w:ascii="Times New Roman" w:hAnsi="Times New Roman"/>
                <w:sz w:val="20"/>
                <w:szCs w:val="20"/>
              </w:rPr>
              <w:t>, до яких належить:</w:t>
            </w:r>
            <w:r w:rsidR="00307A1E" w:rsidRPr="001614F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312273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еревірка технічного стану та обслуговування комплектуючих автоматизовано</w:t>
            </w:r>
            <w:r w:rsidR="00307A1E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го робочого місця; п</w:t>
            </w:r>
            <w:r w:rsidR="00312273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еревірка технічного </w:t>
            </w:r>
            <w:r w:rsidR="00312273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>стану та обслуговування блоків оповіщення БО-FM-04  для і</w:t>
            </w:r>
            <w:r w:rsidR="00307A1E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нформування всередині приміщень; п</w:t>
            </w:r>
            <w:r w:rsidR="00312273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еревірка технічного стану та обслуговування блоків оповіщення БО-FM-05  для зовнішнього гучномовного оповіщення з </w:t>
            </w:r>
            <w:r w:rsidR="00307A1E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автономним електроживленням; </w:t>
            </w:r>
            <w:r w:rsidR="00395150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перевірка технічного стану та обслуговування блоку оповіщення БО-FM-04</w:t>
            </w:r>
            <w:r w:rsidR="00F92BA1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</w:t>
            </w:r>
            <w:bookmarkStart w:id="0" w:name="_GoBack"/>
            <w:bookmarkEnd w:id="0"/>
            <w:r w:rsidR="00395150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 з сиренами</w:t>
            </w:r>
            <w:r w:rsidR="000D67EE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>; перевірка технічного стану та обслуговування пристроїв управління мережею мовлення на базі модуля управління оповіщенням МКО-4ТR</w:t>
            </w:r>
            <w:r w:rsidR="009C507E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>;</w:t>
            </w:r>
            <w:r w:rsidR="000D67EE" w:rsidRPr="001614FC">
              <w:rPr>
                <w:rStyle w:val="markedcontent"/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9C507E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п</w:t>
            </w:r>
            <w:r w:rsidR="000D67EE" w:rsidRPr="001614FC">
              <w:rPr>
                <w:rStyle w:val="a3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еревірка технічного стану та обслуговування аеромобільної системи оповіщення АМАС-400-2</w:t>
            </w:r>
            <w:r w:rsidR="00F21C54" w:rsidRPr="001614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978B" w14:textId="60A611B3" w:rsidR="00185A8D" w:rsidRPr="001614FC" w:rsidRDefault="00F53525" w:rsidP="008E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</w:pPr>
            <w:r w:rsidRPr="001614F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 xml:space="preserve">Очікувана вартість предмета закупівлі </w:t>
            </w:r>
            <w:r w:rsidR="00185A8D" w:rsidRPr="001614F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  <w:lang w:val="uk-UA"/>
              </w:rPr>
              <w:t>відповідає розміру бюджетного призначення.</w:t>
            </w:r>
            <w:r w:rsidR="007725F4" w:rsidRPr="001614F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Розрахунок очікуваної вартості послуг здійснено керуючись </w:t>
            </w:r>
            <w:r w:rsidR="006243E5"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пунктом першим </w:t>
            </w:r>
            <w:r w:rsidR="00AD3042"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</w:t>
            </w:r>
            <w:r w:rsidR="006243E5"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першої</w:t>
            </w:r>
            <w:r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розділу ІІІ</w:t>
            </w:r>
            <w:r w:rsidR="000476B5"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Примірної методики визначення очікуваної вартості предмета закупівлі, що затверджена наказом Мін</w:t>
            </w:r>
            <w:r w:rsidR="000476B5"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істерства розвитку економіки, торгівлі та сільського господарства України </w:t>
            </w:r>
            <w:r w:rsidR="005B340C" w:rsidRPr="00161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18.02.2020 №275 та з у</w:t>
            </w:r>
            <w:r w:rsidR="007725F4" w:rsidRPr="001614F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  <w:lang w:val="uk-UA"/>
              </w:rPr>
              <w:t xml:space="preserve">рахуванням </w:t>
            </w:r>
            <w:r w:rsidR="00B10138" w:rsidRPr="001614F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  <w:lang w:val="uk-UA"/>
              </w:rPr>
              <w:t>наданих послуг в попередніх роках</w:t>
            </w:r>
            <w:r w:rsidR="00F21C54" w:rsidRPr="001614F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.</w:t>
            </w:r>
          </w:p>
          <w:p w14:paraId="763FDEDE" w14:textId="1016EEC4" w:rsidR="00185A8D" w:rsidRPr="001614FC" w:rsidRDefault="00185A8D" w:rsidP="008E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BA782D8" w14:textId="265B2103" w:rsidR="00DC30DC" w:rsidRPr="001614FC" w:rsidRDefault="00DC30DC" w:rsidP="00925B29">
      <w:pPr>
        <w:tabs>
          <w:tab w:val="left" w:pos="1140"/>
          <w:tab w:val="left" w:pos="3360"/>
          <w:tab w:val="left" w:pos="5565"/>
          <w:tab w:val="left" w:pos="6660"/>
        </w:tabs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E80CCA" w14:textId="511B0D30" w:rsidR="00561BE3" w:rsidRPr="00302487" w:rsidRDefault="00561BE3" w:rsidP="00D45751">
      <w:pPr>
        <w:tabs>
          <w:tab w:val="left" w:pos="1140"/>
          <w:tab w:val="left" w:pos="3360"/>
          <w:tab w:val="left" w:pos="5565"/>
          <w:tab w:val="left" w:pos="6660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61BE3" w:rsidRPr="00302487" w:rsidSect="003A56A3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AD"/>
    <w:rsid w:val="00015E08"/>
    <w:rsid w:val="00030658"/>
    <w:rsid w:val="000476B5"/>
    <w:rsid w:val="00053DE5"/>
    <w:rsid w:val="000A6B1B"/>
    <w:rsid w:val="000D67EE"/>
    <w:rsid w:val="000F4FA3"/>
    <w:rsid w:val="00116DBA"/>
    <w:rsid w:val="00146274"/>
    <w:rsid w:val="00146B38"/>
    <w:rsid w:val="00146DBF"/>
    <w:rsid w:val="001614FC"/>
    <w:rsid w:val="001677A6"/>
    <w:rsid w:val="00185A8D"/>
    <w:rsid w:val="001870E7"/>
    <w:rsid w:val="001F0869"/>
    <w:rsid w:val="00206331"/>
    <w:rsid w:val="002129C9"/>
    <w:rsid w:val="00293548"/>
    <w:rsid w:val="002A2E17"/>
    <w:rsid w:val="002A7FF5"/>
    <w:rsid w:val="002D6102"/>
    <w:rsid w:val="00300A4C"/>
    <w:rsid w:val="00302487"/>
    <w:rsid w:val="00302C45"/>
    <w:rsid w:val="00307A1E"/>
    <w:rsid w:val="00312273"/>
    <w:rsid w:val="003418F6"/>
    <w:rsid w:val="00395150"/>
    <w:rsid w:val="003A56A3"/>
    <w:rsid w:val="00440307"/>
    <w:rsid w:val="00465271"/>
    <w:rsid w:val="00474311"/>
    <w:rsid w:val="004C6CF9"/>
    <w:rsid w:val="004D0F05"/>
    <w:rsid w:val="004D2812"/>
    <w:rsid w:val="004F7376"/>
    <w:rsid w:val="0050419F"/>
    <w:rsid w:val="00541A00"/>
    <w:rsid w:val="00542D0C"/>
    <w:rsid w:val="0055227D"/>
    <w:rsid w:val="00561BE3"/>
    <w:rsid w:val="005666F0"/>
    <w:rsid w:val="005B340C"/>
    <w:rsid w:val="005C0DAD"/>
    <w:rsid w:val="005C2688"/>
    <w:rsid w:val="005D08AC"/>
    <w:rsid w:val="005D5FD8"/>
    <w:rsid w:val="00612E0E"/>
    <w:rsid w:val="006243E5"/>
    <w:rsid w:val="0067296E"/>
    <w:rsid w:val="006A1178"/>
    <w:rsid w:val="006C0D97"/>
    <w:rsid w:val="006C2470"/>
    <w:rsid w:val="006C3387"/>
    <w:rsid w:val="006C64BD"/>
    <w:rsid w:val="006E2EF8"/>
    <w:rsid w:val="006E6C7F"/>
    <w:rsid w:val="006F2447"/>
    <w:rsid w:val="007046D5"/>
    <w:rsid w:val="0070737F"/>
    <w:rsid w:val="007363D3"/>
    <w:rsid w:val="00743772"/>
    <w:rsid w:val="007725F4"/>
    <w:rsid w:val="007925ED"/>
    <w:rsid w:val="007E7193"/>
    <w:rsid w:val="007F61F2"/>
    <w:rsid w:val="00825982"/>
    <w:rsid w:val="00830A76"/>
    <w:rsid w:val="00835661"/>
    <w:rsid w:val="008517C3"/>
    <w:rsid w:val="008939BB"/>
    <w:rsid w:val="008A1153"/>
    <w:rsid w:val="008A290C"/>
    <w:rsid w:val="008C163B"/>
    <w:rsid w:val="008E13B9"/>
    <w:rsid w:val="008E6063"/>
    <w:rsid w:val="008F382A"/>
    <w:rsid w:val="009025C8"/>
    <w:rsid w:val="00910F91"/>
    <w:rsid w:val="00925B29"/>
    <w:rsid w:val="009540C3"/>
    <w:rsid w:val="009633DB"/>
    <w:rsid w:val="009B1E80"/>
    <w:rsid w:val="009C507E"/>
    <w:rsid w:val="00A11AE0"/>
    <w:rsid w:val="00A37CEC"/>
    <w:rsid w:val="00A47468"/>
    <w:rsid w:val="00A8172D"/>
    <w:rsid w:val="00A93DEF"/>
    <w:rsid w:val="00AD3042"/>
    <w:rsid w:val="00AE7C28"/>
    <w:rsid w:val="00B021EB"/>
    <w:rsid w:val="00B10138"/>
    <w:rsid w:val="00B16A36"/>
    <w:rsid w:val="00B22E23"/>
    <w:rsid w:val="00B3540E"/>
    <w:rsid w:val="00B43D17"/>
    <w:rsid w:val="00B921E3"/>
    <w:rsid w:val="00B97021"/>
    <w:rsid w:val="00BD7AF2"/>
    <w:rsid w:val="00C014A8"/>
    <w:rsid w:val="00C148D3"/>
    <w:rsid w:val="00C27A37"/>
    <w:rsid w:val="00C52D96"/>
    <w:rsid w:val="00C906C3"/>
    <w:rsid w:val="00CE1301"/>
    <w:rsid w:val="00CE254C"/>
    <w:rsid w:val="00D053A1"/>
    <w:rsid w:val="00D3073E"/>
    <w:rsid w:val="00D45751"/>
    <w:rsid w:val="00D67218"/>
    <w:rsid w:val="00DC30DC"/>
    <w:rsid w:val="00E24707"/>
    <w:rsid w:val="00E25C0A"/>
    <w:rsid w:val="00E2606A"/>
    <w:rsid w:val="00E37A36"/>
    <w:rsid w:val="00E53240"/>
    <w:rsid w:val="00E60CAA"/>
    <w:rsid w:val="00ED41BE"/>
    <w:rsid w:val="00EE1153"/>
    <w:rsid w:val="00F21C54"/>
    <w:rsid w:val="00F53525"/>
    <w:rsid w:val="00F92BA1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  <w15:docId w15:val="{1E274EA5-0256-4D62-99F8-F28A6FA4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2"/>
    <w:rsid w:val="005C2688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68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 w:cs="Times New Roman"/>
    </w:rPr>
  </w:style>
  <w:style w:type="paragraph" w:styleId="aa">
    <w:name w:val="No Spacing"/>
    <w:link w:val="ab"/>
    <w:uiPriority w:val="1"/>
    <w:qFormat/>
    <w:rsid w:val="00302C45"/>
    <w:pPr>
      <w:spacing w:after="0" w:line="240" w:lineRule="auto"/>
    </w:pPr>
    <w:rPr>
      <w:lang w:val="uk-UA"/>
    </w:rPr>
  </w:style>
  <w:style w:type="character" w:customStyle="1" w:styleId="ab">
    <w:name w:val="Без інтервалів Знак"/>
    <w:basedOn w:val="a0"/>
    <w:link w:val="aa"/>
    <w:uiPriority w:val="1"/>
    <w:locked/>
    <w:rsid w:val="00302C45"/>
    <w:rPr>
      <w:lang w:val="uk-UA"/>
    </w:rPr>
  </w:style>
  <w:style w:type="character" w:customStyle="1" w:styleId="tendertuid2nhc4">
    <w:name w:val="tender__tuid__2nhc4"/>
    <w:basedOn w:val="a0"/>
    <w:rsid w:val="0030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8CC0-5D9A-4319-9EBB-208FD5DB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2022-09-06T13:03:00Z</cp:lastPrinted>
  <dcterms:created xsi:type="dcterms:W3CDTF">2023-02-06T09:40:00Z</dcterms:created>
  <dcterms:modified xsi:type="dcterms:W3CDTF">2023-02-06T09:40:00Z</dcterms:modified>
</cp:coreProperties>
</file>