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F7C" w:rsidRPr="00842C1A" w:rsidRDefault="00C90F7C" w:rsidP="00C90F7C">
      <w:pPr>
        <w:widowControl w:val="0"/>
        <w:autoSpaceDE w:val="0"/>
        <w:autoSpaceDN w:val="0"/>
        <w:adjustRightInd w:val="0"/>
        <w:ind w:left="5103"/>
        <w:jc w:val="center"/>
        <w:rPr>
          <w:rFonts w:ascii="Times New Roman" w:hAnsi="Times New Roman"/>
          <w:sz w:val="20"/>
        </w:rPr>
      </w:pPr>
      <w:r w:rsidRPr="00842C1A">
        <w:rPr>
          <w:rFonts w:ascii="Times New Roman" w:hAnsi="Times New Roman"/>
          <w:sz w:val="20"/>
        </w:rPr>
        <w:t>(дата офіційного опублікування в Єдиному</w:t>
      </w:r>
    </w:p>
    <w:p w:rsidR="00C90F7C" w:rsidRPr="00842C1A" w:rsidRDefault="00C90F7C" w:rsidP="00C90F7C">
      <w:pPr>
        <w:widowControl w:val="0"/>
        <w:autoSpaceDE w:val="0"/>
        <w:autoSpaceDN w:val="0"/>
        <w:adjustRightInd w:val="0"/>
        <w:ind w:left="5103"/>
        <w:jc w:val="center"/>
        <w:rPr>
          <w:rFonts w:ascii="Times New Roman" w:hAnsi="Times New Roman"/>
          <w:sz w:val="20"/>
        </w:rPr>
      </w:pPr>
      <w:r w:rsidRPr="00842C1A">
        <w:rPr>
          <w:rFonts w:ascii="Times New Roman" w:hAnsi="Times New Roman"/>
          <w:sz w:val="20"/>
        </w:rPr>
        <w:t>реєстрі з оцінки впливу на довкілля</w:t>
      </w:r>
    </w:p>
    <w:p w:rsidR="00C90F7C" w:rsidRPr="00842C1A" w:rsidRDefault="00C90F7C" w:rsidP="00C90F7C">
      <w:pPr>
        <w:widowControl w:val="0"/>
        <w:autoSpaceDE w:val="0"/>
        <w:autoSpaceDN w:val="0"/>
        <w:adjustRightInd w:val="0"/>
        <w:ind w:left="5103"/>
        <w:jc w:val="center"/>
        <w:rPr>
          <w:rFonts w:ascii="Times New Roman" w:hAnsi="Times New Roman"/>
          <w:sz w:val="20"/>
        </w:rPr>
      </w:pPr>
      <w:r w:rsidRPr="00842C1A">
        <w:rPr>
          <w:rFonts w:ascii="Times New Roman" w:hAnsi="Times New Roman"/>
          <w:sz w:val="20"/>
        </w:rPr>
        <w:t>(автоматично генерується програмними</w:t>
      </w:r>
    </w:p>
    <w:p w:rsidR="00C90F7C" w:rsidRPr="00842C1A" w:rsidRDefault="00C90F7C" w:rsidP="00C90F7C">
      <w:pPr>
        <w:widowControl w:val="0"/>
        <w:autoSpaceDE w:val="0"/>
        <w:autoSpaceDN w:val="0"/>
        <w:adjustRightInd w:val="0"/>
        <w:ind w:left="5103"/>
        <w:jc w:val="center"/>
        <w:rPr>
          <w:rFonts w:ascii="Times New Roman" w:hAnsi="Times New Roman"/>
          <w:sz w:val="20"/>
        </w:rPr>
      </w:pPr>
      <w:r w:rsidRPr="00842C1A">
        <w:rPr>
          <w:rFonts w:ascii="Times New Roman" w:hAnsi="Times New Roman"/>
          <w:sz w:val="20"/>
        </w:rPr>
        <w:t>засобами ведення Єдиного реєстру</w:t>
      </w:r>
    </w:p>
    <w:p w:rsidR="00C90F7C" w:rsidRPr="00842C1A" w:rsidRDefault="00C90F7C" w:rsidP="00C90F7C">
      <w:pPr>
        <w:widowControl w:val="0"/>
        <w:autoSpaceDE w:val="0"/>
        <w:autoSpaceDN w:val="0"/>
        <w:adjustRightInd w:val="0"/>
        <w:ind w:left="5103"/>
        <w:jc w:val="center"/>
        <w:rPr>
          <w:rFonts w:ascii="Times New Roman" w:hAnsi="Times New Roman"/>
          <w:sz w:val="20"/>
        </w:rPr>
      </w:pPr>
      <w:r w:rsidRPr="00842C1A">
        <w:rPr>
          <w:rFonts w:ascii="Times New Roman" w:hAnsi="Times New Roman"/>
          <w:sz w:val="20"/>
        </w:rPr>
        <w:t>з оцінки впливу на довкілля,</w:t>
      </w:r>
    </w:p>
    <w:p w:rsidR="00C90F7C" w:rsidRPr="00842C1A" w:rsidRDefault="00C90F7C" w:rsidP="00C90F7C">
      <w:pPr>
        <w:widowControl w:val="0"/>
        <w:autoSpaceDE w:val="0"/>
        <w:autoSpaceDN w:val="0"/>
        <w:adjustRightInd w:val="0"/>
        <w:ind w:left="5103"/>
        <w:jc w:val="center"/>
        <w:rPr>
          <w:rFonts w:ascii="Times New Roman" w:hAnsi="Times New Roman"/>
          <w:sz w:val="20"/>
        </w:rPr>
      </w:pPr>
      <w:r w:rsidRPr="00842C1A">
        <w:rPr>
          <w:rFonts w:ascii="Times New Roman" w:hAnsi="Times New Roman"/>
          <w:sz w:val="20"/>
        </w:rPr>
        <w:t>не зазначається суб’єктом господарювання)</w:t>
      </w:r>
    </w:p>
    <w:p w:rsidR="00C90F7C" w:rsidRPr="00842C1A" w:rsidRDefault="00C90F7C" w:rsidP="00C90F7C">
      <w:pPr>
        <w:widowControl w:val="0"/>
        <w:autoSpaceDE w:val="0"/>
        <w:autoSpaceDN w:val="0"/>
        <w:adjustRightInd w:val="0"/>
        <w:ind w:left="5103"/>
        <w:jc w:val="both"/>
        <w:rPr>
          <w:rFonts w:ascii="Times New Roman" w:hAnsi="Times New Roman"/>
          <w:sz w:val="20"/>
        </w:rPr>
      </w:pPr>
    </w:p>
    <w:p w:rsidR="00C90F7C" w:rsidRPr="00842C1A" w:rsidRDefault="00C90F7C" w:rsidP="00C90F7C">
      <w:pPr>
        <w:widowControl w:val="0"/>
        <w:autoSpaceDE w:val="0"/>
        <w:autoSpaceDN w:val="0"/>
        <w:adjustRightInd w:val="0"/>
        <w:ind w:left="5103"/>
        <w:jc w:val="center"/>
        <w:rPr>
          <w:rFonts w:ascii="Times New Roman" w:hAnsi="Times New Roman"/>
          <w:sz w:val="20"/>
        </w:rPr>
      </w:pPr>
      <w:r w:rsidRPr="00842C1A">
        <w:rPr>
          <w:rFonts w:ascii="Times New Roman" w:hAnsi="Times New Roman"/>
          <w:sz w:val="20"/>
        </w:rPr>
        <w:t>____________________________________</w:t>
      </w:r>
      <w:r w:rsidRPr="00842C1A">
        <w:rPr>
          <w:rFonts w:ascii="Times New Roman" w:hAnsi="Times New Roman"/>
          <w:sz w:val="20"/>
        </w:rPr>
        <w:br/>
        <w:t>(реєстраційний номер справи про оцінку</w:t>
      </w:r>
    </w:p>
    <w:p w:rsidR="00C90F7C" w:rsidRPr="00842C1A" w:rsidRDefault="00C90F7C" w:rsidP="00C90F7C">
      <w:pPr>
        <w:widowControl w:val="0"/>
        <w:autoSpaceDE w:val="0"/>
        <w:autoSpaceDN w:val="0"/>
        <w:adjustRightInd w:val="0"/>
        <w:ind w:left="5103"/>
        <w:jc w:val="center"/>
        <w:rPr>
          <w:rFonts w:ascii="Times New Roman" w:hAnsi="Times New Roman"/>
          <w:sz w:val="20"/>
        </w:rPr>
      </w:pPr>
      <w:r w:rsidRPr="00842C1A">
        <w:rPr>
          <w:rFonts w:ascii="Times New Roman" w:hAnsi="Times New Roman"/>
          <w:sz w:val="20"/>
        </w:rPr>
        <w:t>впливу на довкілля планованої діяльності</w:t>
      </w:r>
    </w:p>
    <w:p w:rsidR="00C90F7C" w:rsidRPr="00842C1A" w:rsidRDefault="00C90F7C" w:rsidP="00C90F7C">
      <w:pPr>
        <w:widowControl w:val="0"/>
        <w:autoSpaceDE w:val="0"/>
        <w:autoSpaceDN w:val="0"/>
        <w:adjustRightInd w:val="0"/>
        <w:ind w:left="5103"/>
        <w:jc w:val="center"/>
        <w:rPr>
          <w:rFonts w:ascii="Times New Roman" w:hAnsi="Times New Roman"/>
          <w:sz w:val="20"/>
        </w:rPr>
      </w:pPr>
      <w:r w:rsidRPr="00842C1A">
        <w:rPr>
          <w:rFonts w:ascii="Times New Roman" w:hAnsi="Times New Roman"/>
          <w:sz w:val="20"/>
        </w:rPr>
        <w:t>(автоматично генерується програмними</w:t>
      </w:r>
    </w:p>
    <w:p w:rsidR="00C90F7C" w:rsidRPr="00842C1A" w:rsidRDefault="00C90F7C" w:rsidP="00C90F7C">
      <w:pPr>
        <w:widowControl w:val="0"/>
        <w:autoSpaceDE w:val="0"/>
        <w:autoSpaceDN w:val="0"/>
        <w:adjustRightInd w:val="0"/>
        <w:ind w:left="5103"/>
        <w:jc w:val="center"/>
        <w:rPr>
          <w:rFonts w:ascii="Times New Roman" w:hAnsi="Times New Roman"/>
          <w:sz w:val="20"/>
        </w:rPr>
      </w:pPr>
      <w:r w:rsidRPr="00842C1A">
        <w:rPr>
          <w:rFonts w:ascii="Times New Roman" w:hAnsi="Times New Roman"/>
          <w:sz w:val="20"/>
        </w:rPr>
        <w:t>засобами ведення Єдиного реєстру</w:t>
      </w:r>
    </w:p>
    <w:p w:rsidR="00C90F7C" w:rsidRPr="00842C1A" w:rsidRDefault="00C90F7C" w:rsidP="00C90F7C">
      <w:pPr>
        <w:widowControl w:val="0"/>
        <w:autoSpaceDE w:val="0"/>
        <w:autoSpaceDN w:val="0"/>
        <w:adjustRightInd w:val="0"/>
        <w:ind w:left="5103"/>
        <w:jc w:val="center"/>
        <w:rPr>
          <w:rFonts w:ascii="Times New Roman" w:hAnsi="Times New Roman"/>
          <w:sz w:val="20"/>
        </w:rPr>
      </w:pPr>
      <w:r w:rsidRPr="00842C1A">
        <w:rPr>
          <w:rFonts w:ascii="Times New Roman" w:hAnsi="Times New Roman"/>
          <w:sz w:val="20"/>
        </w:rPr>
        <w:t>з оцінки впливу на довкілля,</w:t>
      </w:r>
    </w:p>
    <w:p w:rsidR="00C90F7C" w:rsidRPr="00842C1A" w:rsidRDefault="00C90F7C" w:rsidP="00C90F7C">
      <w:pPr>
        <w:widowControl w:val="0"/>
        <w:autoSpaceDE w:val="0"/>
        <w:autoSpaceDN w:val="0"/>
        <w:adjustRightInd w:val="0"/>
        <w:ind w:left="5103"/>
        <w:jc w:val="center"/>
        <w:rPr>
          <w:rFonts w:ascii="Times New Roman" w:hAnsi="Times New Roman"/>
          <w:sz w:val="20"/>
        </w:rPr>
      </w:pPr>
      <w:r w:rsidRPr="00842C1A">
        <w:rPr>
          <w:rFonts w:ascii="Times New Roman" w:hAnsi="Times New Roman"/>
          <w:sz w:val="20"/>
        </w:rPr>
        <w:t>для паперової версії зазначається</w:t>
      </w:r>
    </w:p>
    <w:p w:rsidR="00C90F7C" w:rsidRPr="00842C1A" w:rsidRDefault="00C90F7C" w:rsidP="00C90F7C">
      <w:pPr>
        <w:widowControl w:val="0"/>
        <w:autoSpaceDE w:val="0"/>
        <w:autoSpaceDN w:val="0"/>
        <w:adjustRightInd w:val="0"/>
        <w:spacing w:after="120"/>
        <w:ind w:left="5103"/>
        <w:jc w:val="center"/>
        <w:rPr>
          <w:rFonts w:ascii="Times New Roman" w:hAnsi="Times New Roman"/>
          <w:sz w:val="20"/>
        </w:rPr>
      </w:pPr>
      <w:r w:rsidRPr="00842C1A">
        <w:rPr>
          <w:rFonts w:ascii="Times New Roman" w:hAnsi="Times New Roman"/>
          <w:sz w:val="20"/>
        </w:rPr>
        <w:t>суб’єктом господарювання)</w:t>
      </w:r>
    </w:p>
    <w:p w:rsidR="00C90F7C" w:rsidRPr="00842C1A" w:rsidRDefault="00C90F7C" w:rsidP="00C90F7C">
      <w:pPr>
        <w:keepNext/>
        <w:keepLines/>
        <w:spacing w:before="360" w:after="360"/>
        <w:jc w:val="center"/>
        <w:rPr>
          <w:rFonts w:ascii="Times New Roman" w:hAnsi="Times New Roman"/>
          <w:b/>
          <w:sz w:val="28"/>
          <w:szCs w:val="28"/>
        </w:rPr>
      </w:pPr>
      <w:r w:rsidRPr="00842C1A">
        <w:rPr>
          <w:rFonts w:ascii="Times New Roman" w:hAnsi="Times New Roman"/>
          <w:b/>
          <w:sz w:val="28"/>
          <w:szCs w:val="28"/>
        </w:rPr>
        <w:t>ПОВІДОМЛЕННЯ</w:t>
      </w:r>
      <w:r w:rsidRPr="00842C1A">
        <w:rPr>
          <w:rFonts w:ascii="Times New Roman" w:hAnsi="Times New Roman"/>
          <w:b/>
          <w:sz w:val="28"/>
          <w:szCs w:val="28"/>
        </w:rPr>
        <w:br/>
        <w:t>про плановану діяльність, яка підлягає оцінці впливу на довкілля</w:t>
      </w:r>
    </w:p>
    <w:p w:rsidR="00C90F7C" w:rsidRPr="00842C1A" w:rsidRDefault="00C90F7C" w:rsidP="00C90F7C">
      <w:pPr>
        <w:widowControl w:val="0"/>
        <w:spacing w:after="13" w:line="220" w:lineRule="exact"/>
        <w:ind w:left="20"/>
        <w:jc w:val="center"/>
        <w:rPr>
          <w:rFonts w:ascii="Times New Roman" w:hAnsi="Times New Roman"/>
          <w:sz w:val="24"/>
          <w:szCs w:val="24"/>
          <w:lang w:eastAsia="uk-UA"/>
        </w:rPr>
      </w:pPr>
      <w:r w:rsidRPr="00842C1A">
        <w:rPr>
          <w:rFonts w:ascii="Times New Roman" w:hAnsi="Times New Roman"/>
          <w:sz w:val="24"/>
          <w:szCs w:val="24"/>
          <w:lang w:eastAsia="uk-UA"/>
        </w:rPr>
        <w:t>Державне підприємство «Національна атомна енергогенеруюча компанія «Енергоатом»</w:t>
      </w:r>
    </w:p>
    <w:p w:rsidR="00C90F7C" w:rsidRPr="00842C1A" w:rsidRDefault="00C90F7C" w:rsidP="00C90F7C">
      <w:pPr>
        <w:widowControl w:val="0"/>
        <w:spacing w:after="10" w:line="220" w:lineRule="exact"/>
        <w:ind w:left="20"/>
        <w:jc w:val="center"/>
        <w:rPr>
          <w:rFonts w:ascii="Times New Roman" w:hAnsi="Times New Roman"/>
          <w:sz w:val="24"/>
          <w:szCs w:val="24"/>
          <w:lang w:eastAsia="uk-UA"/>
        </w:rPr>
      </w:pPr>
      <w:r w:rsidRPr="00842C1A">
        <w:rPr>
          <w:rFonts w:ascii="Times New Roman" w:hAnsi="Times New Roman"/>
          <w:sz w:val="24"/>
          <w:szCs w:val="24"/>
          <w:lang w:eastAsia="uk-UA"/>
        </w:rPr>
        <w:t>код згідно з ЄДРПОУ 24584661</w:t>
      </w:r>
    </w:p>
    <w:p w:rsidR="00C90F7C" w:rsidRPr="00842C1A" w:rsidRDefault="00C90F7C" w:rsidP="00C90F7C">
      <w:pPr>
        <w:spacing w:line="276" w:lineRule="auto"/>
        <w:ind w:right="-1"/>
        <w:jc w:val="center"/>
        <w:rPr>
          <w:rFonts w:ascii="Times New Roman" w:hAnsi="Times New Roman"/>
          <w:i/>
          <w:sz w:val="16"/>
          <w:szCs w:val="16"/>
        </w:rPr>
      </w:pPr>
      <w:r w:rsidRPr="00842C1A" w:rsidDel="0069710D">
        <w:rPr>
          <w:rFonts w:ascii="Times New Roman" w:hAnsi="Times New Roman"/>
          <w:sz w:val="20"/>
        </w:rPr>
        <w:t xml:space="preserve"> </w:t>
      </w:r>
      <w:r w:rsidRPr="00842C1A">
        <w:rPr>
          <w:rFonts w:ascii="Times New Roman" w:hAnsi="Times New Roman"/>
          <w:i/>
          <w:sz w:val="16"/>
          <w:szCs w:val="16"/>
        </w:rPr>
        <w:t xml:space="preserve">(повне найменування юридичної особи, код згідно з ЄДРПОУ або прізвище, ім’я та по батькові фізичної особи - підприємця, ідентифікаційний код або серія та номер паспорта (для фізичних осіб, які через свої релігійні переконання відмовляються від </w:t>
      </w:r>
      <w:r w:rsidRPr="00842C1A">
        <w:rPr>
          <w:rFonts w:ascii="Times New Roman" w:hAnsi="Times New Roman"/>
          <w:i/>
          <w:sz w:val="16"/>
          <w:szCs w:val="16"/>
        </w:rPr>
        <w:br/>
        <w:t>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rsidR="00C90F7C" w:rsidRPr="00842C1A" w:rsidRDefault="00C90F7C" w:rsidP="00C90F7C">
      <w:pPr>
        <w:widowControl w:val="0"/>
        <w:autoSpaceDE w:val="0"/>
        <w:autoSpaceDN w:val="0"/>
        <w:adjustRightInd w:val="0"/>
        <w:spacing w:before="120"/>
        <w:jc w:val="both"/>
        <w:rPr>
          <w:rFonts w:ascii="Times New Roman" w:hAnsi="Times New Roman"/>
          <w:sz w:val="24"/>
          <w:szCs w:val="24"/>
        </w:rPr>
      </w:pPr>
      <w:r w:rsidRPr="00842C1A">
        <w:rPr>
          <w:rFonts w:ascii="Times New Roman" w:hAnsi="Times New Roman"/>
          <w:sz w:val="24"/>
          <w:szCs w:val="24"/>
        </w:rPr>
        <w:t>інформує про намір провадити плановану діяльність та оцінку її впливу на довкілля.</w:t>
      </w:r>
    </w:p>
    <w:p w:rsidR="00C90F7C" w:rsidRPr="00842C1A" w:rsidRDefault="00C90F7C" w:rsidP="00C90F7C">
      <w:pPr>
        <w:spacing w:before="120" w:after="120"/>
        <w:ind w:firstLine="567"/>
        <w:rPr>
          <w:rFonts w:ascii="Times New Roman" w:hAnsi="Times New Roman"/>
          <w:b/>
          <w:sz w:val="24"/>
          <w:szCs w:val="24"/>
        </w:rPr>
      </w:pPr>
      <w:r w:rsidRPr="00842C1A">
        <w:rPr>
          <w:rFonts w:ascii="Times New Roman" w:hAnsi="Times New Roman"/>
          <w:b/>
          <w:sz w:val="24"/>
          <w:szCs w:val="24"/>
        </w:rPr>
        <w:t xml:space="preserve">1. Інформація про суб’єкта господарювання </w:t>
      </w:r>
    </w:p>
    <w:p w:rsidR="00C90F7C" w:rsidRPr="00842C1A" w:rsidRDefault="00C90F7C" w:rsidP="00C90F7C">
      <w:pPr>
        <w:ind w:firstLine="567"/>
        <w:jc w:val="both"/>
        <w:rPr>
          <w:rFonts w:ascii="Times New Roman" w:hAnsi="Times New Roman"/>
          <w:sz w:val="22"/>
          <w:szCs w:val="22"/>
        </w:rPr>
      </w:pPr>
      <w:r w:rsidRPr="00842C1A">
        <w:rPr>
          <w:rFonts w:ascii="Times New Roman" w:hAnsi="Times New Roman"/>
          <w:sz w:val="24"/>
          <w:szCs w:val="24"/>
        </w:rPr>
        <w:t xml:space="preserve">Відокремлений підрозділ «Південноукраїнська АЕС» Державного підприємства «Національна атомна енергогенеруюча компанія «Енергоатом» (ВП ПАЕС ДП «НАЕК «Енергоатом»); 55000, </w:t>
      </w:r>
      <w:proofErr w:type="spellStart"/>
      <w:r w:rsidRPr="00842C1A">
        <w:rPr>
          <w:rFonts w:ascii="Times New Roman" w:hAnsi="Times New Roman"/>
          <w:sz w:val="24"/>
          <w:szCs w:val="24"/>
        </w:rPr>
        <w:t>м. Южноукраїн</w:t>
      </w:r>
      <w:proofErr w:type="spellEnd"/>
      <w:r w:rsidRPr="00842C1A">
        <w:rPr>
          <w:rFonts w:ascii="Times New Roman" w:hAnsi="Times New Roman"/>
          <w:sz w:val="24"/>
          <w:szCs w:val="24"/>
        </w:rPr>
        <w:t>ськ, Миколаївська область, Україна,</w:t>
      </w:r>
      <w:r w:rsidRPr="00842C1A">
        <w:rPr>
          <w:rFonts w:ascii="Times New Roman" w:hAnsi="Times New Roman"/>
          <w:sz w:val="24"/>
          <w:szCs w:val="24"/>
        </w:rPr>
        <w:br/>
        <w:t xml:space="preserve">е-mail: </w:t>
      </w:r>
      <w:hyperlink r:id="rId8" w:history="1">
        <w:r w:rsidRPr="00842C1A">
          <w:rPr>
            <w:rStyle w:val="a8"/>
            <w:rFonts w:ascii="Times New Roman" w:hAnsi="Times New Roman"/>
            <w:sz w:val="24"/>
            <w:szCs w:val="24"/>
          </w:rPr>
          <w:t>office@sunpp.atom.gov.ua</w:t>
        </w:r>
      </w:hyperlink>
      <w:r w:rsidRPr="00842C1A">
        <w:rPr>
          <w:rFonts w:ascii="Times New Roman" w:hAnsi="Times New Roman"/>
          <w:sz w:val="24"/>
          <w:szCs w:val="24"/>
        </w:rPr>
        <w:t xml:space="preserve">, факс: (+38 05136) 4-11-70, </w:t>
      </w:r>
      <w:hyperlink r:id="rId9" w:history="1">
        <w:r w:rsidRPr="00842C1A">
          <w:rPr>
            <w:rStyle w:val="a8"/>
            <w:rFonts w:ascii="Times New Roman" w:hAnsi="Times New Roman"/>
            <w:sz w:val="24"/>
            <w:szCs w:val="24"/>
          </w:rPr>
          <w:t>https://sunpp.mk.ua</w:t>
        </w:r>
      </w:hyperlink>
      <w:r w:rsidRPr="00842C1A">
        <w:rPr>
          <w:rFonts w:ascii="Times New Roman" w:hAnsi="Times New Roman"/>
          <w:sz w:val="24"/>
          <w:szCs w:val="24"/>
        </w:rPr>
        <w:t>)</w:t>
      </w:r>
      <w:r w:rsidRPr="00842C1A">
        <w:rPr>
          <w:rFonts w:ascii="Times New Roman" w:hAnsi="Times New Roman"/>
          <w:sz w:val="22"/>
          <w:szCs w:val="22"/>
          <w:u w:val="single"/>
        </w:rPr>
        <w:t xml:space="preserve"> </w:t>
      </w:r>
    </w:p>
    <w:p w:rsidR="00C90F7C" w:rsidRPr="00842C1A" w:rsidRDefault="00C90F7C" w:rsidP="00C90F7C">
      <w:pPr>
        <w:widowControl w:val="0"/>
        <w:autoSpaceDE w:val="0"/>
        <w:autoSpaceDN w:val="0"/>
        <w:adjustRightInd w:val="0"/>
        <w:jc w:val="center"/>
        <w:rPr>
          <w:rFonts w:ascii="Times New Roman" w:hAnsi="Times New Roman"/>
          <w:i/>
          <w:sz w:val="16"/>
          <w:szCs w:val="16"/>
        </w:rPr>
      </w:pPr>
      <w:r w:rsidRPr="00842C1A">
        <w:rPr>
          <w:rFonts w:ascii="Times New Roman" w:hAnsi="Times New Roman"/>
          <w:sz w:val="20"/>
        </w:rPr>
        <w:t>(</w:t>
      </w:r>
      <w:r w:rsidRPr="00842C1A">
        <w:rPr>
          <w:rFonts w:ascii="Times New Roman" w:hAnsi="Times New Roman"/>
          <w:i/>
          <w:sz w:val="16"/>
          <w:szCs w:val="16"/>
        </w:rPr>
        <w:t>місцезнаходження юридичної особи або місце провадження діяльності фізичної особи - підприємця (поштовий індекс, адреса), контактний номер телефону)</w:t>
      </w:r>
    </w:p>
    <w:p w:rsidR="00C90F7C" w:rsidRPr="00842C1A" w:rsidRDefault="00C90F7C" w:rsidP="00C90F7C">
      <w:pPr>
        <w:spacing w:before="120"/>
        <w:ind w:right="-51" w:firstLine="567"/>
        <w:contextualSpacing/>
        <w:jc w:val="both"/>
        <w:rPr>
          <w:rFonts w:ascii="Times New Roman" w:hAnsi="Times New Roman"/>
          <w:sz w:val="24"/>
          <w:szCs w:val="24"/>
          <w:lang w:eastAsia="en-US"/>
        </w:rPr>
      </w:pPr>
    </w:p>
    <w:p w:rsidR="00C90F7C" w:rsidRPr="00842C1A" w:rsidRDefault="00C90F7C" w:rsidP="00C90F7C">
      <w:pPr>
        <w:spacing w:before="120" w:after="120"/>
        <w:ind w:firstLine="567"/>
        <w:rPr>
          <w:rFonts w:ascii="Times New Roman" w:hAnsi="Times New Roman"/>
          <w:b/>
          <w:sz w:val="24"/>
          <w:szCs w:val="24"/>
        </w:rPr>
      </w:pPr>
      <w:r w:rsidRPr="00842C1A">
        <w:rPr>
          <w:rFonts w:ascii="Times New Roman" w:hAnsi="Times New Roman"/>
          <w:b/>
          <w:sz w:val="24"/>
          <w:szCs w:val="24"/>
        </w:rPr>
        <w:t>2. Планована діяльність, її характеристика, технічні альтернативи</w:t>
      </w:r>
      <w:r w:rsidRPr="00842C1A">
        <w:rPr>
          <w:rFonts w:ascii="Times New Roman" w:hAnsi="Times New Roman"/>
          <w:b/>
          <w:sz w:val="24"/>
          <w:szCs w:val="24"/>
          <w:vertAlign w:val="superscript"/>
        </w:rPr>
        <w:footnoteReference w:id="1"/>
      </w:r>
      <w:r w:rsidRPr="00842C1A">
        <w:rPr>
          <w:rFonts w:ascii="Times New Roman" w:hAnsi="Times New Roman"/>
          <w:b/>
          <w:sz w:val="24"/>
          <w:szCs w:val="24"/>
        </w:rPr>
        <w:t>.</w:t>
      </w:r>
    </w:p>
    <w:p w:rsidR="00C90F7C" w:rsidRPr="00842C1A" w:rsidRDefault="00C90F7C" w:rsidP="00C90F7C">
      <w:pPr>
        <w:ind w:firstLine="567"/>
        <w:jc w:val="both"/>
        <w:rPr>
          <w:rFonts w:ascii="Times New Roman" w:hAnsi="Times New Roman"/>
          <w:sz w:val="24"/>
          <w:szCs w:val="24"/>
        </w:rPr>
      </w:pPr>
      <w:r w:rsidRPr="00842C1A">
        <w:rPr>
          <w:rFonts w:ascii="Times New Roman" w:hAnsi="Times New Roman"/>
          <w:sz w:val="24"/>
          <w:szCs w:val="24"/>
        </w:rPr>
        <w:t>Планована діяльність, її характеристика.</w:t>
      </w:r>
    </w:p>
    <w:p w:rsidR="00C90F7C" w:rsidRPr="00842C1A" w:rsidRDefault="00C90F7C" w:rsidP="00C90F7C">
      <w:pPr>
        <w:ind w:firstLine="567"/>
        <w:jc w:val="both"/>
        <w:rPr>
          <w:rFonts w:ascii="Times New Roman" w:hAnsi="Times New Roman"/>
          <w:sz w:val="24"/>
          <w:szCs w:val="24"/>
        </w:rPr>
      </w:pPr>
      <w:r w:rsidRPr="00842C1A">
        <w:rPr>
          <w:rFonts w:ascii="Times New Roman" w:hAnsi="Times New Roman"/>
          <w:sz w:val="24"/>
          <w:szCs w:val="24"/>
        </w:rPr>
        <w:t xml:space="preserve">Планована діяльність полягає у завершенні будівництва </w:t>
      </w:r>
      <w:proofErr w:type="spellStart"/>
      <w:r w:rsidRPr="00842C1A">
        <w:rPr>
          <w:rFonts w:ascii="Times New Roman" w:hAnsi="Times New Roman"/>
          <w:sz w:val="24"/>
          <w:szCs w:val="24"/>
        </w:rPr>
        <w:t>Ташлицької</w:t>
      </w:r>
      <w:proofErr w:type="spellEnd"/>
      <w:r w:rsidRPr="00842C1A">
        <w:rPr>
          <w:rFonts w:ascii="Times New Roman" w:hAnsi="Times New Roman"/>
          <w:sz w:val="24"/>
          <w:szCs w:val="24"/>
        </w:rPr>
        <w:t xml:space="preserve"> ГАЕС у складі гідроагрегатів 3-6 з підвищенням рівня </w:t>
      </w:r>
      <w:proofErr w:type="spellStart"/>
      <w:r w:rsidRPr="00842C1A">
        <w:rPr>
          <w:rFonts w:ascii="Times New Roman" w:hAnsi="Times New Roman"/>
          <w:sz w:val="24"/>
          <w:szCs w:val="24"/>
        </w:rPr>
        <w:t>Олександрівського</w:t>
      </w:r>
      <w:proofErr w:type="spellEnd"/>
      <w:r w:rsidRPr="00842C1A">
        <w:rPr>
          <w:rFonts w:ascii="Times New Roman" w:hAnsi="Times New Roman"/>
          <w:sz w:val="24"/>
          <w:szCs w:val="24"/>
        </w:rPr>
        <w:t xml:space="preserve"> водосховища на р. Південний Буг з позначки    16,0 м до позначки 16,9 м.</w:t>
      </w:r>
    </w:p>
    <w:p w:rsidR="00C90F7C" w:rsidRPr="00842C1A" w:rsidRDefault="00C90F7C" w:rsidP="00C90F7C">
      <w:pPr>
        <w:ind w:firstLine="567"/>
        <w:jc w:val="both"/>
        <w:rPr>
          <w:rFonts w:ascii="Times New Roman" w:hAnsi="Times New Roman"/>
          <w:sz w:val="24"/>
          <w:szCs w:val="24"/>
        </w:rPr>
      </w:pPr>
      <w:r w:rsidRPr="00842C1A">
        <w:rPr>
          <w:rFonts w:ascii="Times New Roman" w:hAnsi="Times New Roman"/>
          <w:sz w:val="24"/>
          <w:szCs w:val="24"/>
        </w:rPr>
        <w:t xml:space="preserve">Проектом будівництва передбачено поетапне підняття рівня в </w:t>
      </w:r>
      <w:proofErr w:type="spellStart"/>
      <w:r w:rsidRPr="00842C1A">
        <w:rPr>
          <w:rFonts w:ascii="Times New Roman" w:hAnsi="Times New Roman"/>
          <w:sz w:val="24"/>
          <w:szCs w:val="24"/>
        </w:rPr>
        <w:t>Олександрівському</w:t>
      </w:r>
      <w:proofErr w:type="spellEnd"/>
      <w:r w:rsidRPr="00842C1A">
        <w:rPr>
          <w:rFonts w:ascii="Times New Roman" w:hAnsi="Times New Roman"/>
          <w:sz w:val="24"/>
          <w:szCs w:val="24"/>
        </w:rPr>
        <w:t xml:space="preserve"> водосховищі з створенням водогосподарської ємності для водопостачання Миколаївської області, а також збільшення витрат у меженний період, забезпечення санітарного попуску в маловодні роки.</w:t>
      </w:r>
    </w:p>
    <w:p w:rsidR="00C90F7C" w:rsidRPr="00842C1A" w:rsidRDefault="00C90F7C" w:rsidP="00C90F7C">
      <w:pPr>
        <w:ind w:firstLine="567"/>
        <w:jc w:val="both"/>
        <w:rPr>
          <w:rFonts w:ascii="Times New Roman" w:hAnsi="Times New Roman"/>
          <w:sz w:val="24"/>
          <w:szCs w:val="24"/>
        </w:rPr>
      </w:pPr>
      <w:proofErr w:type="spellStart"/>
      <w:r w:rsidRPr="00842C1A">
        <w:rPr>
          <w:rFonts w:ascii="Times New Roman" w:hAnsi="Times New Roman"/>
          <w:sz w:val="24"/>
          <w:szCs w:val="24"/>
        </w:rPr>
        <w:t>Ташлицька</w:t>
      </w:r>
      <w:proofErr w:type="spellEnd"/>
      <w:r w:rsidRPr="00842C1A">
        <w:rPr>
          <w:rFonts w:ascii="Times New Roman" w:hAnsi="Times New Roman"/>
          <w:sz w:val="24"/>
          <w:szCs w:val="24"/>
        </w:rPr>
        <w:t xml:space="preserve"> ГАЕС (ТГАЕС) призначена для покриття пікових навантажень, заповнення нічних «провалів», забезпечення аварійного та частотного резервів у південно-західній частині об’єднаної енергосистеми (ОЕС) України, де спостерігається значна нерівномірність добового графіка навантажень та гостра потреба у пікових та швидкодіючих аварійних потужностях, а також для забезпечення базисного режиму      ВП ПАЕС та створення аварійного резерву для атомної електростанції (забезпечення електроенергією ОЕС у разі виникнення надзвичайних ситуацій). </w:t>
      </w:r>
    </w:p>
    <w:p w:rsidR="00C90F7C" w:rsidRPr="00842C1A" w:rsidRDefault="00C90F7C" w:rsidP="00C90F7C">
      <w:pPr>
        <w:ind w:firstLine="567"/>
        <w:jc w:val="both"/>
        <w:rPr>
          <w:rFonts w:ascii="Times New Roman" w:hAnsi="Times New Roman"/>
          <w:sz w:val="24"/>
          <w:szCs w:val="24"/>
        </w:rPr>
      </w:pPr>
      <w:r w:rsidRPr="00842C1A">
        <w:rPr>
          <w:rFonts w:ascii="Times New Roman" w:hAnsi="Times New Roman"/>
          <w:sz w:val="24"/>
          <w:szCs w:val="24"/>
        </w:rPr>
        <w:lastRenderedPageBreak/>
        <w:t xml:space="preserve">Завершення будівництва </w:t>
      </w:r>
      <w:proofErr w:type="spellStart"/>
      <w:r w:rsidRPr="00842C1A">
        <w:rPr>
          <w:rFonts w:ascii="Times New Roman" w:hAnsi="Times New Roman"/>
          <w:sz w:val="24"/>
          <w:szCs w:val="24"/>
        </w:rPr>
        <w:t>Ташлицької</w:t>
      </w:r>
      <w:proofErr w:type="spellEnd"/>
      <w:r w:rsidRPr="00842C1A">
        <w:rPr>
          <w:rFonts w:ascii="Times New Roman" w:hAnsi="Times New Roman"/>
          <w:sz w:val="24"/>
          <w:szCs w:val="24"/>
        </w:rPr>
        <w:t xml:space="preserve"> ГАЕС здійснюється відповідно до проекту, затвердженого розпорядженням Кабінету Міністрів України від 21.11.2007 № 1036-р «Про затвердження проекту завершення будівництва </w:t>
      </w:r>
      <w:proofErr w:type="spellStart"/>
      <w:r w:rsidRPr="00842C1A">
        <w:rPr>
          <w:rFonts w:ascii="Times New Roman" w:hAnsi="Times New Roman"/>
          <w:sz w:val="24"/>
          <w:szCs w:val="24"/>
        </w:rPr>
        <w:t>Ташлицької</w:t>
      </w:r>
      <w:proofErr w:type="spellEnd"/>
      <w:r w:rsidRPr="00842C1A">
        <w:rPr>
          <w:rFonts w:ascii="Times New Roman" w:hAnsi="Times New Roman"/>
          <w:sz w:val="24"/>
          <w:szCs w:val="24"/>
        </w:rPr>
        <w:t xml:space="preserve"> ГАЕС» та  наказом   ДП «НАЕК «Енергоатом» від 12.03.2019 № 222 «Про затвердження проекту «Завершення будівництва </w:t>
      </w:r>
      <w:proofErr w:type="spellStart"/>
      <w:r w:rsidRPr="00842C1A">
        <w:rPr>
          <w:rFonts w:ascii="Times New Roman" w:hAnsi="Times New Roman"/>
          <w:sz w:val="24"/>
          <w:szCs w:val="24"/>
        </w:rPr>
        <w:t>Ташлицької</w:t>
      </w:r>
      <w:proofErr w:type="spellEnd"/>
      <w:r w:rsidRPr="00842C1A">
        <w:rPr>
          <w:rFonts w:ascii="Times New Roman" w:hAnsi="Times New Roman"/>
          <w:sz w:val="24"/>
          <w:szCs w:val="24"/>
        </w:rPr>
        <w:t xml:space="preserve"> ГАЕС. Введення гідроагрегатів №№ 3-6»</w:t>
      </w:r>
      <w:r w:rsidRPr="00842C1A">
        <w:rPr>
          <w:rFonts w:ascii="Times New Roman" w:hAnsi="Times New Roman"/>
          <w:sz w:val="24"/>
          <w:szCs w:val="24"/>
        </w:rPr>
        <w:br/>
        <w:t xml:space="preserve">(м. </w:t>
      </w:r>
      <w:proofErr w:type="spellStart"/>
      <w:r w:rsidRPr="00842C1A">
        <w:rPr>
          <w:rFonts w:ascii="Times New Roman" w:hAnsi="Times New Roman"/>
          <w:sz w:val="24"/>
          <w:szCs w:val="24"/>
        </w:rPr>
        <w:t>Южноукраїнськ</w:t>
      </w:r>
      <w:proofErr w:type="spellEnd"/>
      <w:r w:rsidRPr="00842C1A">
        <w:rPr>
          <w:rFonts w:ascii="Times New Roman" w:hAnsi="Times New Roman"/>
          <w:sz w:val="24"/>
          <w:szCs w:val="24"/>
        </w:rPr>
        <w:t xml:space="preserve"> Миколаївської області) (Коригування)» (наказом від 12.09.2019 № 929 внесені доповнення) на основі погоджень та позитивного висновку ДП «</w:t>
      </w:r>
      <w:proofErr w:type="spellStart"/>
      <w:r w:rsidRPr="00842C1A">
        <w:rPr>
          <w:rFonts w:ascii="Times New Roman" w:hAnsi="Times New Roman"/>
          <w:sz w:val="24"/>
          <w:szCs w:val="24"/>
        </w:rPr>
        <w:t>Укрдержбудекспертиза</w:t>
      </w:r>
      <w:proofErr w:type="spellEnd"/>
      <w:r w:rsidRPr="00842C1A">
        <w:rPr>
          <w:rFonts w:ascii="Times New Roman" w:hAnsi="Times New Roman"/>
          <w:sz w:val="24"/>
          <w:szCs w:val="24"/>
        </w:rPr>
        <w:t>» від 29.09.2017 № 00-1188-17/ПБ (00-2099-16/</w:t>
      </w:r>
      <w:proofErr w:type="spellStart"/>
      <w:r w:rsidRPr="00842C1A">
        <w:rPr>
          <w:rFonts w:ascii="Times New Roman" w:hAnsi="Times New Roman"/>
          <w:sz w:val="24"/>
          <w:szCs w:val="24"/>
        </w:rPr>
        <w:t>ПБ</w:t>
      </w:r>
      <w:proofErr w:type="spellEnd"/>
      <w:r w:rsidRPr="00842C1A">
        <w:rPr>
          <w:rFonts w:ascii="Times New Roman" w:hAnsi="Times New Roman"/>
          <w:sz w:val="24"/>
          <w:szCs w:val="24"/>
        </w:rPr>
        <w:t xml:space="preserve">) та передбачає введення в експлуатацію гідроагрегатів № 3−6 </w:t>
      </w:r>
      <w:proofErr w:type="spellStart"/>
      <w:r w:rsidRPr="00842C1A">
        <w:rPr>
          <w:rFonts w:ascii="Times New Roman" w:hAnsi="Times New Roman"/>
          <w:sz w:val="24"/>
          <w:szCs w:val="24"/>
        </w:rPr>
        <w:t>Ташлицької</w:t>
      </w:r>
      <w:proofErr w:type="spellEnd"/>
      <w:r w:rsidRPr="00842C1A">
        <w:rPr>
          <w:rFonts w:ascii="Times New Roman" w:hAnsi="Times New Roman"/>
          <w:sz w:val="24"/>
          <w:szCs w:val="24"/>
        </w:rPr>
        <w:t xml:space="preserve"> ГАЕС загальною потужністю 604 МВт у генераторному режимі та поетапне підвищення рівня </w:t>
      </w:r>
      <w:proofErr w:type="spellStart"/>
      <w:r w:rsidRPr="00842C1A">
        <w:rPr>
          <w:rFonts w:ascii="Times New Roman" w:hAnsi="Times New Roman"/>
          <w:sz w:val="24"/>
          <w:szCs w:val="24"/>
        </w:rPr>
        <w:t>Олександрівського</w:t>
      </w:r>
      <w:proofErr w:type="spellEnd"/>
      <w:r w:rsidRPr="00842C1A">
        <w:rPr>
          <w:rFonts w:ascii="Times New Roman" w:hAnsi="Times New Roman"/>
          <w:sz w:val="24"/>
          <w:szCs w:val="24"/>
        </w:rPr>
        <w:t xml:space="preserve"> водосховища (нижньої водойми </w:t>
      </w:r>
      <w:proofErr w:type="spellStart"/>
      <w:r w:rsidRPr="00842C1A">
        <w:rPr>
          <w:rFonts w:ascii="Times New Roman" w:hAnsi="Times New Roman"/>
          <w:sz w:val="24"/>
          <w:szCs w:val="24"/>
        </w:rPr>
        <w:t>Ташлицької</w:t>
      </w:r>
      <w:proofErr w:type="spellEnd"/>
      <w:r w:rsidRPr="00842C1A">
        <w:rPr>
          <w:rFonts w:ascii="Times New Roman" w:hAnsi="Times New Roman"/>
          <w:sz w:val="24"/>
          <w:szCs w:val="24"/>
        </w:rPr>
        <w:t xml:space="preserve"> ГАЕС). </w:t>
      </w:r>
    </w:p>
    <w:p w:rsidR="00C90F7C" w:rsidRPr="00842C1A" w:rsidRDefault="00C90F7C" w:rsidP="00C90F7C">
      <w:pPr>
        <w:ind w:firstLine="567"/>
        <w:jc w:val="both"/>
        <w:rPr>
          <w:rFonts w:ascii="Times New Roman" w:hAnsi="Times New Roman"/>
          <w:sz w:val="24"/>
          <w:szCs w:val="24"/>
        </w:rPr>
      </w:pPr>
      <w:proofErr w:type="spellStart"/>
      <w:r w:rsidRPr="00842C1A">
        <w:rPr>
          <w:rFonts w:ascii="Times New Roman" w:hAnsi="Times New Roman"/>
          <w:sz w:val="24"/>
          <w:szCs w:val="24"/>
        </w:rPr>
        <w:t>Ташлицька</w:t>
      </w:r>
      <w:proofErr w:type="spellEnd"/>
      <w:r w:rsidRPr="00842C1A">
        <w:rPr>
          <w:rFonts w:ascii="Times New Roman" w:hAnsi="Times New Roman"/>
          <w:sz w:val="24"/>
          <w:szCs w:val="24"/>
        </w:rPr>
        <w:t xml:space="preserve"> ГАЕС є діючим об’єктом та здійснює експлуатацію. Проект є завершенням будівництва ТГАЕС, яка частково вже введена в експлуатацію, та виконано великий обсяг робіт для подальшого поетапного введення в експлуатацію наступних гідроагрегатів (майже повністю виконані будівельні роботи по спорудах: будівля ГАЕС на шість гідроагрегатів, водоприймач, всі тунельні водоводи, підвідний і відвідний канали та ін.).</w:t>
      </w:r>
    </w:p>
    <w:p w:rsidR="00C90F7C" w:rsidRPr="00842C1A" w:rsidRDefault="00C90F7C" w:rsidP="00C90F7C">
      <w:pPr>
        <w:spacing w:before="120" w:after="120"/>
        <w:ind w:firstLine="567"/>
        <w:jc w:val="both"/>
        <w:rPr>
          <w:rFonts w:ascii="Times New Roman" w:hAnsi="Times New Roman"/>
          <w:b/>
          <w:sz w:val="24"/>
          <w:szCs w:val="24"/>
        </w:rPr>
      </w:pPr>
      <w:r w:rsidRPr="00842C1A">
        <w:rPr>
          <w:rFonts w:ascii="Times New Roman" w:hAnsi="Times New Roman"/>
          <w:b/>
          <w:sz w:val="24"/>
          <w:szCs w:val="24"/>
        </w:rPr>
        <w:t>Технічна альтернатива 1</w:t>
      </w:r>
    </w:p>
    <w:p w:rsidR="00C90F7C" w:rsidRPr="00842C1A" w:rsidRDefault="00C90F7C" w:rsidP="00C90F7C">
      <w:pPr>
        <w:spacing w:before="120"/>
        <w:ind w:firstLine="567"/>
        <w:jc w:val="both"/>
        <w:rPr>
          <w:rFonts w:ascii="Times New Roman" w:hAnsi="Times New Roman"/>
          <w:sz w:val="24"/>
          <w:szCs w:val="24"/>
        </w:rPr>
      </w:pPr>
      <w:r w:rsidRPr="00842C1A">
        <w:rPr>
          <w:rFonts w:ascii="Times New Roman" w:hAnsi="Times New Roman"/>
          <w:sz w:val="24"/>
          <w:szCs w:val="24"/>
        </w:rPr>
        <w:t xml:space="preserve">Підвищення рівня </w:t>
      </w:r>
      <w:proofErr w:type="spellStart"/>
      <w:r w:rsidRPr="00842C1A">
        <w:rPr>
          <w:rFonts w:ascii="Times New Roman" w:hAnsi="Times New Roman"/>
          <w:sz w:val="24"/>
          <w:szCs w:val="24"/>
        </w:rPr>
        <w:t>Олександрівського</w:t>
      </w:r>
      <w:proofErr w:type="spellEnd"/>
      <w:r w:rsidRPr="00842C1A">
        <w:rPr>
          <w:rFonts w:ascii="Times New Roman" w:hAnsi="Times New Roman"/>
          <w:sz w:val="24"/>
          <w:szCs w:val="24"/>
        </w:rPr>
        <w:t xml:space="preserve"> водосховища на р. Південний Буг з позначки 16,0 м до позначки 16,9 м при завершенні будівництва </w:t>
      </w:r>
      <w:proofErr w:type="spellStart"/>
      <w:r w:rsidRPr="00842C1A">
        <w:rPr>
          <w:rFonts w:ascii="Times New Roman" w:hAnsi="Times New Roman"/>
          <w:sz w:val="24"/>
          <w:szCs w:val="24"/>
        </w:rPr>
        <w:t>Ташлицької</w:t>
      </w:r>
      <w:proofErr w:type="spellEnd"/>
      <w:r w:rsidRPr="00842C1A">
        <w:rPr>
          <w:rFonts w:ascii="Times New Roman" w:hAnsi="Times New Roman"/>
          <w:sz w:val="24"/>
          <w:szCs w:val="24"/>
        </w:rPr>
        <w:t xml:space="preserve"> ГАЕС у складі гідроагрегатів 3-6.</w:t>
      </w:r>
    </w:p>
    <w:p w:rsidR="00C90F7C" w:rsidRPr="00842C1A" w:rsidRDefault="00C90F7C" w:rsidP="00C90F7C">
      <w:pPr>
        <w:spacing w:before="120" w:after="120"/>
        <w:ind w:firstLine="567"/>
        <w:jc w:val="both"/>
        <w:rPr>
          <w:rFonts w:ascii="Times New Roman" w:hAnsi="Times New Roman"/>
          <w:b/>
          <w:sz w:val="24"/>
          <w:szCs w:val="24"/>
        </w:rPr>
      </w:pPr>
      <w:r w:rsidRPr="00842C1A">
        <w:rPr>
          <w:rFonts w:ascii="Times New Roman" w:hAnsi="Times New Roman"/>
          <w:b/>
          <w:sz w:val="24"/>
          <w:szCs w:val="24"/>
        </w:rPr>
        <w:t>Технічна альтернатива 2</w:t>
      </w:r>
    </w:p>
    <w:p w:rsidR="00C90F7C" w:rsidRPr="00842C1A" w:rsidRDefault="00C90F7C" w:rsidP="00C90F7C">
      <w:pPr>
        <w:spacing w:before="120"/>
        <w:ind w:firstLine="567"/>
        <w:jc w:val="both"/>
        <w:rPr>
          <w:rFonts w:ascii="Times New Roman" w:hAnsi="Times New Roman"/>
          <w:sz w:val="24"/>
          <w:szCs w:val="24"/>
        </w:rPr>
      </w:pPr>
      <w:r w:rsidRPr="00842C1A">
        <w:rPr>
          <w:rFonts w:ascii="Times New Roman" w:hAnsi="Times New Roman"/>
          <w:sz w:val="24"/>
          <w:szCs w:val="24"/>
        </w:rPr>
        <w:t xml:space="preserve">Підвищення рівня </w:t>
      </w:r>
      <w:proofErr w:type="spellStart"/>
      <w:r w:rsidRPr="00842C1A">
        <w:rPr>
          <w:rFonts w:ascii="Times New Roman" w:hAnsi="Times New Roman"/>
          <w:sz w:val="24"/>
          <w:szCs w:val="24"/>
        </w:rPr>
        <w:t>Олександрівського</w:t>
      </w:r>
      <w:proofErr w:type="spellEnd"/>
      <w:r w:rsidRPr="00842C1A">
        <w:rPr>
          <w:rFonts w:ascii="Times New Roman" w:hAnsi="Times New Roman"/>
          <w:sz w:val="24"/>
          <w:szCs w:val="24"/>
        </w:rPr>
        <w:t xml:space="preserve"> водосховища на р. Південний Буг з позначки 16,0 м до позначки 20,7 м при завершенні будівництва </w:t>
      </w:r>
      <w:proofErr w:type="spellStart"/>
      <w:r w:rsidRPr="00842C1A">
        <w:rPr>
          <w:rFonts w:ascii="Times New Roman" w:hAnsi="Times New Roman"/>
          <w:sz w:val="24"/>
          <w:szCs w:val="24"/>
        </w:rPr>
        <w:t>Ташлицької</w:t>
      </w:r>
      <w:proofErr w:type="spellEnd"/>
      <w:r w:rsidRPr="00842C1A">
        <w:rPr>
          <w:rFonts w:ascii="Times New Roman" w:hAnsi="Times New Roman"/>
          <w:sz w:val="24"/>
          <w:szCs w:val="24"/>
        </w:rPr>
        <w:t xml:space="preserve"> ГАЕС у складі гідроагрегатів 3-6.</w:t>
      </w:r>
    </w:p>
    <w:p w:rsidR="00C90F7C" w:rsidRPr="00842C1A" w:rsidRDefault="00C90F7C" w:rsidP="00C90F7C">
      <w:pPr>
        <w:spacing w:before="120" w:after="120"/>
        <w:ind w:firstLine="567"/>
        <w:rPr>
          <w:rFonts w:ascii="Times New Roman" w:hAnsi="Times New Roman"/>
          <w:b/>
          <w:sz w:val="24"/>
          <w:szCs w:val="24"/>
        </w:rPr>
      </w:pPr>
      <w:r w:rsidRPr="00842C1A">
        <w:rPr>
          <w:rFonts w:ascii="Times New Roman" w:hAnsi="Times New Roman"/>
          <w:b/>
          <w:sz w:val="24"/>
          <w:szCs w:val="24"/>
        </w:rPr>
        <w:t>3. Місце провадження планованої діяльності, територіальні альтернативи.</w:t>
      </w:r>
    </w:p>
    <w:p w:rsidR="00C90F7C" w:rsidRPr="00842C1A" w:rsidRDefault="00C90F7C" w:rsidP="00C90F7C">
      <w:pPr>
        <w:pStyle w:val="Default"/>
        <w:ind w:firstLine="567"/>
        <w:jc w:val="both"/>
        <w:rPr>
          <w:strike/>
          <w:color w:val="auto"/>
          <w:lang w:val="uk-UA"/>
        </w:rPr>
      </w:pPr>
      <w:r w:rsidRPr="00842C1A">
        <w:rPr>
          <w:color w:val="auto"/>
          <w:lang w:val="uk-UA"/>
        </w:rPr>
        <w:t xml:space="preserve">Місце провадження діяльності існуючий промисловий майданчик </w:t>
      </w:r>
      <w:proofErr w:type="spellStart"/>
      <w:r w:rsidRPr="00842C1A">
        <w:rPr>
          <w:color w:val="auto"/>
          <w:lang w:val="uk-UA"/>
        </w:rPr>
        <w:t>Ташлицької</w:t>
      </w:r>
      <w:proofErr w:type="spellEnd"/>
      <w:r w:rsidRPr="00842C1A">
        <w:rPr>
          <w:color w:val="auto"/>
          <w:lang w:val="uk-UA"/>
        </w:rPr>
        <w:t xml:space="preserve"> ГАЕС.</w:t>
      </w:r>
    </w:p>
    <w:p w:rsidR="00C90F7C" w:rsidRPr="00842C1A" w:rsidRDefault="00C90F7C" w:rsidP="00C90F7C">
      <w:pPr>
        <w:pStyle w:val="Default"/>
        <w:spacing w:before="120" w:after="120"/>
        <w:ind w:firstLine="567"/>
        <w:jc w:val="both"/>
        <w:rPr>
          <w:b/>
          <w:color w:val="auto"/>
          <w:lang w:val="uk-UA"/>
        </w:rPr>
      </w:pPr>
      <w:r w:rsidRPr="00842C1A">
        <w:rPr>
          <w:b/>
          <w:color w:val="auto"/>
          <w:lang w:val="uk-UA"/>
        </w:rPr>
        <w:t>Територіальна альтернатива 1</w:t>
      </w:r>
    </w:p>
    <w:p w:rsidR="00C90F7C" w:rsidRPr="00842C1A" w:rsidRDefault="00C90F7C" w:rsidP="00C90F7C">
      <w:pPr>
        <w:pStyle w:val="Default"/>
        <w:ind w:firstLine="567"/>
        <w:jc w:val="both"/>
        <w:rPr>
          <w:color w:val="auto"/>
          <w:lang w:val="uk-UA"/>
        </w:rPr>
      </w:pPr>
      <w:r w:rsidRPr="00842C1A">
        <w:rPr>
          <w:color w:val="auto"/>
          <w:lang w:val="uk-UA"/>
        </w:rPr>
        <w:t xml:space="preserve">Підвищення рівня </w:t>
      </w:r>
      <w:proofErr w:type="spellStart"/>
      <w:r w:rsidRPr="00842C1A">
        <w:rPr>
          <w:color w:val="auto"/>
          <w:lang w:val="uk-UA"/>
        </w:rPr>
        <w:t>Олександрівського</w:t>
      </w:r>
      <w:proofErr w:type="spellEnd"/>
      <w:r w:rsidRPr="00842C1A">
        <w:rPr>
          <w:color w:val="auto"/>
          <w:lang w:val="uk-UA"/>
        </w:rPr>
        <w:t xml:space="preserve"> водосховища з існуючої позначки 16,0 м до позначки 16,9 м (лише на 0,9 м) для забезпечення роботи ГАЕС планується в межах діючого землевідводу, наданого ДП «НАЕК «Енергоатом» у постійне користування.</w:t>
      </w:r>
    </w:p>
    <w:p w:rsidR="00C90F7C" w:rsidRPr="00842C1A" w:rsidRDefault="00C90F7C" w:rsidP="00C90F7C">
      <w:pPr>
        <w:pStyle w:val="Default"/>
        <w:ind w:firstLine="567"/>
        <w:jc w:val="both"/>
        <w:rPr>
          <w:color w:val="auto"/>
          <w:lang w:val="uk-UA"/>
        </w:rPr>
      </w:pPr>
      <w:r w:rsidRPr="00842C1A">
        <w:rPr>
          <w:color w:val="auto"/>
          <w:lang w:val="uk-UA"/>
        </w:rPr>
        <w:t>Додаткового відведення земель не передбачається.</w:t>
      </w:r>
    </w:p>
    <w:p w:rsidR="00C90F7C" w:rsidRPr="00842C1A" w:rsidRDefault="00C90F7C" w:rsidP="00C90F7C">
      <w:pPr>
        <w:pStyle w:val="Default"/>
        <w:spacing w:before="120" w:after="120"/>
        <w:ind w:firstLine="567"/>
        <w:jc w:val="both"/>
        <w:rPr>
          <w:color w:val="auto"/>
          <w:lang w:val="uk-UA"/>
        </w:rPr>
      </w:pPr>
      <w:r w:rsidRPr="00842C1A">
        <w:rPr>
          <w:b/>
          <w:color w:val="auto"/>
          <w:lang w:val="uk-UA"/>
        </w:rPr>
        <w:t>Територіальна альтернатива 2</w:t>
      </w:r>
    </w:p>
    <w:p w:rsidR="00C90F7C" w:rsidRPr="00842C1A" w:rsidRDefault="00C90F7C" w:rsidP="00C90F7C">
      <w:pPr>
        <w:pStyle w:val="Default"/>
        <w:ind w:firstLine="567"/>
        <w:jc w:val="both"/>
        <w:rPr>
          <w:color w:val="auto"/>
          <w:lang w:val="uk-UA"/>
        </w:rPr>
      </w:pPr>
      <w:r w:rsidRPr="00842C1A">
        <w:rPr>
          <w:color w:val="auto"/>
          <w:lang w:val="uk-UA"/>
        </w:rPr>
        <w:t xml:space="preserve">Територіальна альтернатива 2 не розглядається.  </w:t>
      </w:r>
    </w:p>
    <w:p w:rsidR="00C90F7C" w:rsidRPr="00842C1A" w:rsidRDefault="00C90F7C" w:rsidP="00C90F7C">
      <w:pPr>
        <w:spacing w:before="120" w:after="120"/>
        <w:ind w:firstLine="567"/>
        <w:rPr>
          <w:rFonts w:ascii="Times New Roman" w:hAnsi="Times New Roman"/>
          <w:b/>
          <w:sz w:val="24"/>
          <w:szCs w:val="24"/>
          <w:lang w:eastAsia="en-US"/>
        </w:rPr>
      </w:pPr>
      <w:r w:rsidRPr="00842C1A">
        <w:rPr>
          <w:rFonts w:ascii="Times New Roman" w:hAnsi="Times New Roman"/>
          <w:b/>
          <w:sz w:val="24"/>
          <w:szCs w:val="24"/>
          <w:lang w:eastAsia="en-US"/>
        </w:rPr>
        <w:t>4. Соціально-</w:t>
      </w:r>
      <w:r w:rsidRPr="00842C1A">
        <w:rPr>
          <w:rFonts w:ascii="Times New Roman" w:hAnsi="Times New Roman"/>
          <w:b/>
          <w:sz w:val="24"/>
          <w:szCs w:val="24"/>
        </w:rPr>
        <w:t>економічний</w:t>
      </w:r>
      <w:r w:rsidRPr="00842C1A">
        <w:rPr>
          <w:rFonts w:ascii="Times New Roman" w:hAnsi="Times New Roman"/>
          <w:b/>
          <w:sz w:val="24"/>
          <w:szCs w:val="24"/>
          <w:lang w:eastAsia="en-US"/>
        </w:rPr>
        <w:t xml:space="preserve"> вплив планованої діяльності</w:t>
      </w:r>
    </w:p>
    <w:p w:rsidR="00C90F7C" w:rsidRPr="00842C1A" w:rsidRDefault="00C90F7C" w:rsidP="00C90F7C">
      <w:pPr>
        <w:pStyle w:val="Default"/>
        <w:ind w:firstLine="567"/>
        <w:jc w:val="both"/>
        <w:rPr>
          <w:color w:val="auto"/>
          <w:lang w:val="uk-UA"/>
        </w:rPr>
      </w:pPr>
      <w:r w:rsidRPr="00842C1A">
        <w:rPr>
          <w:color w:val="auto"/>
          <w:lang w:val="uk-UA"/>
        </w:rPr>
        <w:t xml:space="preserve">Соціально-економічним обґрунтуванням діяльності є забезпечення ОЕС України, в якій спостерігається гострий дефіцит маневрових потужностей, надзвичайно необхідною високоманевровою балансуючою електроенергією для регулювання графіка навантажень, створення аварійного та частотного резервів для підвищення надійності електропостачання промислових підприємств та населення. Крім того, під час будівництва та експлуатації ТГАЕС створюються додаткові робочі місця для місцевого населення. </w:t>
      </w:r>
    </w:p>
    <w:p w:rsidR="00C90F7C" w:rsidRPr="00842C1A" w:rsidRDefault="00C90F7C" w:rsidP="00C90F7C">
      <w:pPr>
        <w:pStyle w:val="Default"/>
        <w:ind w:firstLine="567"/>
        <w:jc w:val="both"/>
        <w:rPr>
          <w:lang w:val="uk-UA"/>
        </w:rPr>
      </w:pPr>
      <w:r w:rsidRPr="00842C1A">
        <w:rPr>
          <w:color w:val="auto"/>
          <w:lang w:val="uk-UA"/>
        </w:rPr>
        <w:t>У процесі здійснення діяльності передбачаються витрати на соціальний розвиток регіону та екологічні заходи  із збереження природного та культурного надбання</w:t>
      </w:r>
      <w:r w:rsidRPr="00842C1A">
        <w:rPr>
          <w:lang w:val="uk-UA"/>
        </w:rPr>
        <w:t xml:space="preserve"> </w:t>
      </w:r>
      <w:r w:rsidRPr="00842C1A">
        <w:rPr>
          <w:color w:val="auto"/>
          <w:lang w:val="uk-UA"/>
        </w:rPr>
        <w:t xml:space="preserve">в зоні впливу </w:t>
      </w:r>
      <w:proofErr w:type="spellStart"/>
      <w:r w:rsidRPr="00842C1A">
        <w:rPr>
          <w:color w:val="auto"/>
          <w:lang w:val="uk-UA"/>
        </w:rPr>
        <w:t>Ташлицької</w:t>
      </w:r>
      <w:proofErr w:type="spellEnd"/>
      <w:r w:rsidRPr="00842C1A">
        <w:rPr>
          <w:color w:val="auto"/>
          <w:lang w:val="uk-UA"/>
        </w:rPr>
        <w:t xml:space="preserve"> ГАЕС. </w:t>
      </w:r>
      <w:r w:rsidRPr="00842C1A">
        <w:rPr>
          <w:lang w:val="uk-UA"/>
        </w:rPr>
        <w:t xml:space="preserve">Під час будівництва ТГАЕС вперше в Україні застосовано одночасне фінансування спорудження промислового об'єкта −  ГАЕС та реалізації соціально-екологічних заходів у зоні його впливу. На вирішення соціально-екологічних </w:t>
      </w:r>
      <w:r w:rsidRPr="00842C1A">
        <w:rPr>
          <w:lang w:val="uk-UA"/>
        </w:rPr>
        <w:lastRenderedPageBreak/>
        <w:t xml:space="preserve">питань прилеглого регіону проектом, затвердженим у 2019 році, передбачено                         910,6 </w:t>
      </w:r>
      <w:proofErr w:type="spellStart"/>
      <w:r w:rsidRPr="00842C1A">
        <w:rPr>
          <w:lang w:val="uk-UA"/>
        </w:rPr>
        <w:t>млн</w:t>
      </w:r>
      <w:proofErr w:type="spellEnd"/>
      <w:r w:rsidRPr="00842C1A">
        <w:rPr>
          <w:lang w:val="uk-UA"/>
        </w:rPr>
        <w:t xml:space="preserve"> грн. Соціальна програма поширюється на три райони (Первомайський, Вознесенський, Миколаївський) (колишні шість районів – Первомайський, </w:t>
      </w:r>
      <w:proofErr w:type="spellStart"/>
      <w:r w:rsidRPr="00842C1A">
        <w:rPr>
          <w:lang w:val="uk-UA"/>
        </w:rPr>
        <w:t>Арбузинський</w:t>
      </w:r>
      <w:proofErr w:type="spellEnd"/>
      <w:r w:rsidRPr="00842C1A">
        <w:rPr>
          <w:lang w:val="uk-UA"/>
        </w:rPr>
        <w:t xml:space="preserve">, Братський, Вознесенський, </w:t>
      </w:r>
      <w:proofErr w:type="spellStart"/>
      <w:r w:rsidRPr="00842C1A">
        <w:rPr>
          <w:lang w:val="uk-UA"/>
        </w:rPr>
        <w:t>Новоодеський</w:t>
      </w:r>
      <w:proofErr w:type="spellEnd"/>
      <w:r w:rsidRPr="00842C1A">
        <w:rPr>
          <w:lang w:val="uk-UA"/>
        </w:rPr>
        <w:t xml:space="preserve">, </w:t>
      </w:r>
      <w:proofErr w:type="spellStart"/>
      <w:r w:rsidRPr="00842C1A">
        <w:rPr>
          <w:lang w:val="uk-UA"/>
        </w:rPr>
        <w:t>Доманівський</w:t>
      </w:r>
      <w:proofErr w:type="spellEnd"/>
      <w:r w:rsidRPr="00842C1A">
        <w:rPr>
          <w:lang w:val="uk-UA"/>
        </w:rPr>
        <w:t xml:space="preserve">) і чотири міста Миколаївської області (Вознесенськ, Первомайськ, </w:t>
      </w:r>
      <w:proofErr w:type="spellStart"/>
      <w:r w:rsidRPr="00842C1A">
        <w:rPr>
          <w:lang w:val="uk-UA"/>
        </w:rPr>
        <w:t>Южноукраїнськ</w:t>
      </w:r>
      <w:proofErr w:type="spellEnd"/>
      <w:r w:rsidRPr="00842C1A">
        <w:rPr>
          <w:lang w:val="uk-UA"/>
        </w:rPr>
        <w:t xml:space="preserve">, Миколаїв). Окремо фінансуються заходи зі збереження флори та фауни Національного парку «Бузький Гард» та Регіонального ландшафтного парку «Гранітно-степове Побужжя», археологічні дослідження у зоні ложа </w:t>
      </w:r>
      <w:proofErr w:type="spellStart"/>
      <w:r w:rsidRPr="00842C1A">
        <w:rPr>
          <w:lang w:val="uk-UA"/>
        </w:rPr>
        <w:t>Олександрівського</w:t>
      </w:r>
      <w:proofErr w:type="spellEnd"/>
      <w:r w:rsidRPr="00842C1A">
        <w:rPr>
          <w:lang w:val="uk-UA"/>
        </w:rPr>
        <w:t xml:space="preserve"> водосховища, </w:t>
      </w:r>
      <w:proofErr w:type="spellStart"/>
      <w:r w:rsidRPr="00842C1A">
        <w:rPr>
          <w:lang w:val="uk-UA"/>
        </w:rPr>
        <w:t>геоекологічний</w:t>
      </w:r>
      <w:proofErr w:type="spellEnd"/>
      <w:r w:rsidRPr="00842C1A">
        <w:rPr>
          <w:lang w:val="uk-UA"/>
        </w:rPr>
        <w:t xml:space="preserve"> моніторинг та сейсмологічний моніторинг у зоні впливу </w:t>
      </w:r>
      <w:proofErr w:type="spellStart"/>
      <w:r w:rsidRPr="00842C1A">
        <w:rPr>
          <w:lang w:val="uk-UA"/>
        </w:rPr>
        <w:t>Ташлицької</w:t>
      </w:r>
      <w:proofErr w:type="spellEnd"/>
      <w:r w:rsidRPr="00842C1A">
        <w:rPr>
          <w:lang w:val="uk-UA"/>
        </w:rPr>
        <w:t xml:space="preserve"> ГАЕС з </w:t>
      </w:r>
      <w:proofErr w:type="spellStart"/>
      <w:r w:rsidRPr="00842C1A">
        <w:rPr>
          <w:lang w:val="uk-UA"/>
        </w:rPr>
        <w:t>Олександрівським</w:t>
      </w:r>
      <w:proofErr w:type="spellEnd"/>
      <w:r w:rsidRPr="00842C1A">
        <w:rPr>
          <w:lang w:val="uk-UA"/>
        </w:rPr>
        <w:t xml:space="preserve"> водосховищем. На реалізацію соціальних проектів регіону вже спрямовано                       204,9 </w:t>
      </w:r>
      <w:proofErr w:type="spellStart"/>
      <w:r w:rsidRPr="00842C1A">
        <w:rPr>
          <w:lang w:val="uk-UA"/>
        </w:rPr>
        <w:t>млн</w:t>
      </w:r>
      <w:proofErr w:type="spellEnd"/>
      <w:r w:rsidRPr="00842C1A">
        <w:rPr>
          <w:lang w:val="uk-UA"/>
        </w:rPr>
        <w:t xml:space="preserve"> гривень.</w:t>
      </w:r>
    </w:p>
    <w:p w:rsidR="00C90F7C" w:rsidRPr="00842C1A" w:rsidRDefault="00C90F7C" w:rsidP="00C90F7C">
      <w:pPr>
        <w:spacing w:before="120" w:after="120"/>
        <w:ind w:firstLine="567"/>
        <w:jc w:val="both"/>
        <w:rPr>
          <w:rFonts w:ascii="Times New Roman" w:hAnsi="Times New Roman"/>
          <w:b/>
          <w:sz w:val="24"/>
          <w:szCs w:val="24"/>
        </w:rPr>
      </w:pPr>
      <w:r w:rsidRPr="00842C1A">
        <w:rPr>
          <w:rFonts w:ascii="Times New Roman" w:hAnsi="Times New Roman"/>
          <w:b/>
          <w:sz w:val="24"/>
          <w:szCs w:val="24"/>
        </w:rPr>
        <w:t>5. Загальні технічні характеристики, у тому числі параметри планованої діяльності (потужність, довжина, площа, обсяг виробництва тощо)</w:t>
      </w:r>
    </w:p>
    <w:p w:rsidR="00C90F7C" w:rsidRPr="00842C1A" w:rsidRDefault="00C90F7C" w:rsidP="00C90F7C">
      <w:pPr>
        <w:widowControl w:val="0"/>
        <w:autoSpaceDE w:val="0"/>
        <w:autoSpaceDN w:val="0"/>
        <w:adjustRightInd w:val="0"/>
        <w:spacing w:before="120" w:after="120"/>
        <w:ind w:firstLine="567"/>
        <w:rPr>
          <w:rFonts w:ascii="Times New Roman" w:hAnsi="Times New Roman"/>
          <w:sz w:val="24"/>
          <w:szCs w:val="24"/>
        </w:rPr>
      </w:pPr>
      <w:r w:rsidRPr="00842C1A">
        <w:rPr>
          <w:rFonts w:ascii="Times New Roman" w:hAnsi="Times New Roman"/>
          <w:sz w:val="24"/>
          <w:szCs w:val="24"/>
        </w:rPr>
        <w:t>Технічні характеристики ГАЕС: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025"/>
        <w:gridCol w:w="3002"/>
      </w:tblGrid>
      <w:tr w:rsidR="00C90F7C" w:rsidRPr="00842C1A" w:rsidTr="00BF09B5">
        <w:trPr>
          <w:tblHeader/>
        </w:trPr>
        <w:tc>
          <w:tcPr>
            <w:tcW w:w="3034" w:type="dxa"/>
            <w:shd w:val="clear" w:color="auto" w:fill="auto"/>
            <w:vAlign w:val="center"/>
          </w:tcPr>
          <w:p w:rsidR="00C90F7C" w:rsidRPr="00842C1A" w:rsidRDefault="00C90F7C" w:rsidP="00BF09B5">
            <w:pPr>
              <w:widowControl w:val="0"/>
              <w:autoSpaceDE w:val="0"/>
              <w:autoSpaceDN w:val="0"/>
              <w:adjustRightInd w:val="0"/>
              <w:jc w:val="center"/>
              <w:rPr>
                <w:rFonts w:ascii="Times New Roman" w:hAnsi="Times New Roman"/>
                <w:sz w:val="24"/>
                <w:szCs w:val="24"/>
              </w:rPr>
            </w:pPr>
            <w:r w:rsidRPr="00842C1A">
              <w:rPr>
                <w:rFonts w:ascii="Times New Roman" w:hAnsi="Times New Roman"/>
                <w:sz w:val="24"/>
                <w:szCs w:val="24"/>
              </w:rPr>
              <w:t>Технічні характеристики ГАЕС</w:t>
            </w:r>
          </w:p>
        </w:tc>
        <w:tc>
          <w:tcPr>
            <w:tcW w:w="3025" w:type="dxa"/>
            <w:shd w:val="clear" w:color="auto" w:fill="auto"/>
            <w:vAlign w:val="center"/>
          </w:tcPr>
          <w:p w:rsidR="00C90F7C" w:rsidRPr="00842C1A" w:rsidRDefault="00C90F7C" w:rsidP="00BF09B5">
            <w:pPr>
              <w:widowControl w:val="0"/>
              <w:autoSpaceDE w:val="0"/>
              <w:autoSpaceDN w:val="0"/>
              <w:adjustRightInd w:val="0"/>
              <w:jc w:val="center"/>
              <w:rPr>
                <w:rFonts w:ascii="Times New Roman" w:hAnsi="Times New Roman"/>
                <w:sz w:val="24"/>
                <w:szCs w:val="24"/>
              </w:rPr>
            </w:pPr>
            <w:r w:rsidRPr="00842C1A">
              <w:rPr>
                <w:rFonts w:ascii="Times New Roman" w:hAnsi="Times New Roman"/>
                <w:sz w:val="24"/>
                <w:szCs w:val="24"/>
              </w:rPr>
              <w:t>Введені в експлуатацію гідроагрегати ГАЕС</w:t>
            </w:r>
          </w:p>
        </w:tc>
        <w:tc>
          <w:tcPr>
            <w:tcW w:w="3002" w:type="dxa"/>
            <w:shd w:val="clear" w:color="auto" w:fill="auto"/>
            <w:vAlign w:val="center"/>
          </w:tcPr>
          <w:p w:rsidR="00C90F7C" w:rsidRPr="00842C1A" w:rsidRDefault="00C90F7C" w:rsidP="00BF09B5">
            <w:pPr>
              <w:widowControl w:val="0"/>
              <w:autoSpaceDE w:val="0"/>
              <w:autoSpaceDN w:val="0"/>
              <w:adjustRightInd w:val="0"/>
              <w:jc w:val="center"/>
              <w:rPr>
                <w:rFonts w:ascii="Times New Roman" w:hAnsi="Times New Roman"/>
                <w:sz w:val="24"/>
                <w:szCs w:val="24"/>
              </w:rPr>
            </w:pPr>
            <w:r w:rsidRPr="00842C1A">
              <w:rPr>
                <w:rFonts w:ascii="Times New Roman" w:hAnsi="Times New Roman"/>
                <w:sz w:val="24"/>
                <w:szCs w:val="24"/>
              </w:rPr>
              <w:t>Повний розвиток ГАЕС</w:t>
            </w:r>
          </w:p>
        </w:tc>
      </w:tr>
      <w:tr w:rsidR="00C90F7C" w:rsidRPr="00842C1A" w:rsidTr="00BF09B5">
        <w:tc>
          <w:tcPr>
            <w:tcW w:w="3034" w:type="dxa"/>
            <w:shd w:val="clear" w:color="auto" w:fill="auto"/>
          </w:tcPr>
          <w:p w:rsidR="00C90F7C" w:rsidRPr="00842C1A" w:rsidRDefault="00C90F7C" w:rsidP="00BF09B5">
            <w:pPr>
              <w:widowControl w:val="0"/>
              <w:autoSpaceDE w:val="0"/>
              <w:autoSpaceDN w:val="0"/>
              <w:adjustRightInd w:val="0"/>
              <w:rPr>
                <w:rFonts w:ascii="Times New Roman" w:hAnsi="Times New Roman"/>
                <w:sz w:val="24"/>
                <w:szCs w:val="24"/>
              </w:rPr>
            </w:pPr>
            <w:r w:rsidRPr="00842C1A">
              <w:rPr>
                <w:rFonts w:ascii="Times New Roman" w:hAnsi="Times New Roman"/>
                <w:sz w:val="24"/>
                <w:szCs w:val="24"/>
              </w:rPr>
              <w:t>Кількість агрегатів</w:t>
            </w:r>
          </w:p>
        </w:tc>
        <w:tc>
          <w:tcPr>
            <w:tcW w:w="3025" w:type="dxa"/>
            <w:shd w:val="clear" w:color="auto" w:fill="auto"/>
          </w:tcPr>
          <w:p w:rsidR="00C90F7C" w:rsidRPr="00842C1A" w:rsidRDefault="00C90F7C" w:rsidP="00BF09B5">
            <w:pPr>
              <w:widowControl w:val="0"/>
              <w:autoSpaceDE w:val="0"/>
              <w:autoSpaceDN w:val="0"/>
              <w:adjustRightInd w:val="0"/>
              <w:jc w:val="center"/>
              <w:rPr>
                <w:rFonts w:ascii="Times New Roman" w:hAnsi="Times New Roman"/>
                <w:sz w:val="24"/>
                <w:szCs w:val="24"/>
              </w:rPr>
            </w:pPr>
            <w:r w:rsidRPr="00842C1A">
              <w:rPr>
                <w:rFonts w:ascii="Times New Roman" w:hAnsi="Times New Roman"/>
                <w:sz w:val="24"/>
                <w:szCs w:val="24"/>
              </w:rPr>
              <w:t>2</w:t>
            </w:r>
          </w:p>
        </w:tc>
        <w:tc>
          <w:tcPr>
            <w:tcW w:w="3002" w:type="dxa"/>
            <w:shd w:val="clear" w:color="auto" w:fill="auto"/>
          </w:tcPr>
          <w:p w:rsidR="00C90F7C" w:rsidRPr="00842C1A" w:rsidRDefault="00C90F7C" w:rsidP="00BF09B5">
            <w:pPr>
              <w:widowControl w:val="0"/>
              <w:autoSpaceDE w:val="0"/>
              <w:autoSpaceDN w:val="0"/>
              <w:adjustRightInd w:val="0"/>
              <w:jc w:val="center"/>
              <w:rPr>
                <w:rFonts w:ascii="Times New Roman" w:hAnsi="Times New Roman"/>
                <w:sz w:val="24"/>
                <w:szCs w:val="24"/>
              </w:rPr>
            </w:pPr>
            <w:r w:rsidRPr="00842C1A">
              <w:rPr>
                <w:rFonts w:ascii="Times New Roman" w:hAnsi="Times New Roman"/>
                <w:sz w:val="24"/>
                <w:szCs w:val="24"/>
              </w:rPr>
              <w:t>6</w:t>
            </w:r>
          </w:p>
        </w:tc>
      </w:tr>
      <w:tr w:rsidR="00C90F7C" w:rsidRPr="00842C1A" w:rsidTr="00BF09B5">
        <w:tc>
          <w:tcPr>
            <w:tcW w:w="3034" w:type="dxa"/>
            <w:shd w:val="clear" w:color="auto" w:fill="auto"/>
          </w:tcPr>
          <w:p w:rsidR="00C90F7C" w:rsidRPr="00842C1A" w:rsidRDefault="00C90F7C" w:rsidP="00BF09B5">
            <w:pPr>
              <w:pStyle w:val="Default"/>
              <w:rPr>
                <w:color w:val="auto"/>
                <w:lang w:val="uk-UA" w:eastAsia="en-US"/>
              </w:rPr>
            </w:pPr>
            <w:r w:rsidRPr="00842C1A">
              <w:rPr>
                <w:color w:val="auto"/>
                <w:lang w:val="uk-UA" w:eastAsia="en-US"/>
              </w:rPr>
              <w:t xml:space="preserve">Встановлена потужність </w:t>
            </w:r>
          </w:p>
          <w:p w:rsidR="00C90F7C" w:rsidRPr="00842C1A" w:rsidRDefault="00C90F7C" w:rsidP="00BF09B5">
            <w:pPr>
              <w:pStyle w:val="Default"/>
              <w:rPr>
                <w:color w:val="auto"/>
                <w:lang w:val="uk-UA" w:eastAsia="en-US"/>
              </w:rPr>
            </w:pPr>
            <w:r w:rsidRPr="00842C1A">
              <w:rPr>
                <w:color w:val="auto"/>
                <w:lang w:val="uk-UA" w:eastAsia="en-US"/>
              </w:rPr>
              <w:t xml:space="preserve">− генераторний режим </w:t>
            </w:r>
          </w:p>
          <w:p w:rsidR="00C90F7C" w:rsidRPr="00842C1A" w:rsidRDefault="00C90F7C" w:rsidP="00BF09B5">
            <w:pPr>
              <w:widowControl w:val="0"/>
              <w:autoSpaceDE w:val="0"/>
              <w:autoSpaceDN w:val="0"/>
              <w:adjustRightInd w:val="0"/>
              <w:rPr>
                <w:rFonts w:ascii="Times New Roman" w:hAnsi="Times New Roman"/>
                <w:sz w:val="24"/>
                <w:szCs w:val="24"/>
              </w:rPr>
            </w:pPr>
            <w:r w:rsidRPr="00842C1A">
              <w:rPr>
                <w:rFonts w:ascii="Times New Roman" w:hAnsi="Times New Roman"/>
                <w:sz w:val="24"/>
                <w:szCs w:val="24"/>
              </w:rPr>
              <w:t>− насосний режим</w:t>
            </w:r>
          </w:p>
        </w:tc>
        <w:tc>
          <w:tcPr>
            <w:tcW w:w="3025" w:type="dxa"/>
            <w:shd w:val="clear" w:color="auto" w:fill="auto"/>
          </w:tcPr>
          <w:p w:rsidR="00C90F7C" w:rsidRPr="00842C1A" w:rsidRDefault="00C90F7C" w:rsidP="00BF09B5">
            <w:pPr>
              <w:pStyle w:val="Default"/>
              <w:jc w:val="center"/>
              <w:rPr>
                <w:color w:val="auto"/>
                <w:lang w:val="uk-UA" w:eastAsia="en-US"/>
              </w:rPr>
            </w:pPr>
          </w:p>
          <w:p w:rsidR="00C90F7C" w:rsidRPr="00842C1A" w:rsidRDefault="00C90F7C" w:rsidP="00BF09B5">
            <w:pPr>
              <w:pStyle w:val="Default"/>
              <w:jc w:val="center"/>
              <w:rPr>
                <w:color w:val="auto"/>
                <w:lang w:val="uk-UA" w:eastAsia="en-US"/>
              </w:rPr>
            </w:pPr>
            <w:r w:rsidRPr="00842C1A">
              <w:rPr>
                <w:color w:val="auto"/>
                <w:lang w:val="uk-UA" w:eastAsia="en-US"/>
              </w:rPr>
              <w:t>302 МВт</w:t>
            </w:r>
          </w:p>
          <w:p w:rsidR="00C90F7C" w:rsidRPr="00842C1A" w:rsidRDefault="00C90F7C" w:rsidP="00BF09B5">
            <w:pPr>
              <w:widowControl w:val="0"/>
              <w:autoSpaceDE w:val="0"/>
              <w:autoSpaceDN w:val="0"/>
              <w:adjustRightInd w:val="0"/>
              <w:jc w:val="center"/>
              <w:rPr>
                <w:rFonts w:ascii="Times New Roman" w:hAnsi="Times New Roman"/>
                <w:sz w:val="24"/>
                <w:szCs w:val="24"/>
              </w:rPr>
            </w:pPr>
            <w:r w:rsidRPr="00842C1A">
              <w:rPr>
                <w:rFonts w:ascii="Times New Roman" w:hAnsi="Times New Roman"/>
                <w:sz w:val="24"/>
                <w:szCs w:val="24"/>
              </w:rPr>
              <w:t>422 МВт</w:t>
            </w:r>
          </w:p>
        </w:tc>
        <w:tc>
          <w:tcPr>
            <w:tcW w:w="3002" w:type="dxa"/>
            <w:shd w:val="clear" w:color="auto" w:fill="auto"/>
          </w:tcPr>
          <w:p w:rsidR="00C90F7C" w:rsidRPr="00842C1A" w:rsidRDefault="00C90F7C" w:rsidP="00BF09B5">
            <w:pPr>
              <w:pStyle w:val="Default"/>
              <w:jc w:val="center"/>
              <w:rPr>
                <w:color w:val="auto"/>
                <w:lang w:val="uk-UA" w:eastAsia="en-US"/>
              </w:rPr>
            </w:pPr>
          </w:p>
          <w:p w:rsidR="00C90F7C" w:rsidRPr="00842C1A" w:rsidRDefault="00C90F7C" w:rsidP="00BF09B5">
            <w:pPr>
              <w:pStyle w:val="Default"/>
              <w:jc w:val="center"/>
              <w:rPr>
                <w:color w:val="auto"/>
                <w:lang w:val="uk-UA" w:eastAsia="en-US"/>
              </w:rPr>
            </w:pPr>
            <w:r w:rsidRPr="00842C1A">
              <w:rPr>
                <w:color w:val="auto"/>
                <w:lang w:val="uk-UA" w:eastAsia="en-US"/>
              </w:rPr>
              <w:t>906 МВт</w:t>
            </w:r>
          </w:p>
          <w:p w:rsidR="00C90F7C" w:rsidRPr="00842C1A" w:rsidRDefault="00C90F7C" w:rsidP="00BF09B5">
            <w:pPr>
              <w:pStyle w:val="Default"/>
              <w:jc w:val="center"/>
              <w:rPr>
                <w:color w:val="auto"/>
                <w:lang w:val="uk-UA" w:eastAsia="en-US"/>
              </w:rPr>
            </w:pPr>
            <w:r w:rsidRPr="00842C1A">
              <w:rPr>
                <w:color w:val="auto"/>
                <w:lang w:val="uk-UA" w:eastAsia="en-US"/>
              </w:rPr>
              <w:t>1266 МВт</w:t>
            </w:r>
          </w:p>
        </w:tc>
      </w:tr>
      <w:tr w:rsidR="00C90F7C" w:rsidRPr="00842C1A" w:rsidTr="00BF09B5">
        <w:tc>
          <w:tcPr>
            <w:tcW w:w="3034" w:type="dxa"/>
            <w:shd w:val="clear" w:color="auto" w:fill="auto"/>
          </w:tcPr>
          <w:p w:rsidR="00C90F7C" w:rsidRPr="00842C1A" w:rsidRDefault="00C90F7C" w:rsidP="00BF09B5">
            <w:pPr>
              <w:pStyle w:val="Default"/>
              <w:rPr>
                <w:color w:val="auto"/>
                <w:lang w:val="uk-UA" w:eastAsia="en-US"/>
              </w:rPr>
            </w:pPr>
            <w:r w:rsidRPr="00842C1A">
              <w:rPr>
                <w:color w:val="auto"/>
                <w:lang w:val="uk-UA" w:eastAsia="en-US"/>
              </w:rPr>
              <w:t xml:space="preserve">Час роботи протягом доби </w:t>
            </w:r>
          </w:p>
          <w:p w:rsidR="00C90F7C" w:rsidRPr="00842C1A" w:rsidRDefault="00C90F7C" w:rsidP="00BF09B5">
            <w:pPr>
              <w:pStyle w:val="Default"/>
              <w:rPr>
                <w:color w:val="auto"/>
                <w:lang w:val="uk-UA" w:eastAsia="en-US"/>
              </w:rPr>
            </w:pPr>
            <w:r w:rsidRPr="00842C1A">
              <w:rPr>
                <w:color w:val="auto"/>
                <w:lang w:val="uk-UA" w:eastAsia="en-US"/>
              </w:rPr>
              <w:t xml:space="preserve">− турбінний режим </w:t>
            </w:r>
          </w:p>
          <w:p w:rsidR="00C90F7C" w:rsidRPr="00842C1A" w:rsidRDefault="00C90F7C" w:rsidP="00BF09B5">
            <w:pPr>
              <w:widowControl w:val="0"/>
              <w:autoSpaceDE w:val="0"/>
              <w:autoSpaceDN w:val="0"/>
              <w:adjustRightInd w:val="0"/>
              <w:rPr>
                <w:rFonts w:ascii="Times New Roman" w:hAnsi="Times New Roman"/>
                <w:sz w:val="24"/>
                <w:szCs w:val="24"/>
              </w:rPr>
            </w:pPr>
            <w:r w:rsidRPr="00842C1A">
              <w:rPr>
                <w:rFonts w:ascii="Times New Roman" w:hAnsi="Times New Roman"/>
                <w:sz w:val="24"/>
                <w:szCs w:val="24"/>
              </w:rPr>
              <w:t>− насосний режим</w:t>
            </w:r>
          </w:p>
        </w:tc>
        <w:tc>
          <w:tcPr>
            <w:tcW w:w="3025" w:type="dxa"/>
            <w:shd w:val="clear" w:color="auto" w:fill="auto"/>
          </w:tcPr>
          <w:p w:rsidR="00C90F7C" w:rsidRPr="00842C1A" w:rsidRDefault="00C90F7C" w:rsidP="00BF09B5">
            <w:pPr>
              <w:widowControl w:val="0"/>
              <w:autoSpaceDE w:val="0"/>
              <w:autoSpaceDN w:val="0"/>
              <w:adjustRightInd w:val="0"/>
              <w:jc w:val="center"/>
              <w:rPr>
                <w:rFonts w:ascii="Times New Roman" w:hAnsi="Times New Roman"/>
                <w:sz w:val="24"/>
                <w:szCs w:val="24"/>
              </w:rPr>
            </w:pPr>
          </w:p>
          <w:p w:rsidR="00C90F7C" w:rsidRPr="00842C1A" w:rsidRDefault="00C90F7C" w:rsidP="00BF09B5">
            <w:pPr>
              <w:widowControl w:val="0"/>
              <w:autoSpaceDE w:val="0"/>
              <w:autoSpaceDN w:val="0"/>
              <w:adjustRightInd w:val="0"/>
              <w:jc w:val="center"/>
              <w:rPr>
                <w:rFonts w:ascii="Times New Roman" w:hAnsi="Times New Roman"/>
                <w:sz w:val="24"/>
                <w:szCs w:val="24"/>
              </w:rPr>
            </w:pPr>
            <w:r w:rsidRPr="00842C1A">
              <w:rPr>
                <w:rFonts w:ascii="Times New Roman" w:hAnsi="Times New Roman"/>
                <w:sz w:val="24"/>
                <w:szCs w:val="24"/>
              </w:rPr>
              <w:t>2,29</w:t>
            </w:r>
          </w:p>
          <w:p w:rsidR="00C90F7C" w:rsidRPr="00842C1A" w:rsidRDefault="00C90F7C" w:rsidP="00BF09B5">
            <w:pPr>
              <w:widowControl w:val="0"/>
              <w:autoSpaceDE w:val="0"/>
              <w:autoSpaceDN w:val="0"/>
              <w:adjustRightInd w:val="0"/>
              <w:jc w:val="center"/>
              <w:rPr>
                <w:rFonts w:ascii="Times New Roman" w:hAnsi="Times New Roman"/>
                <w:sz w:val="24"/>
                <w:szCs w:val="24"/>
              </w:rPr>
            </w:pPr>
            <w:r w:rsidRPr="00842C1A">
              <w:rPr>
                <w:rFonts w:ascii="Times New Roman" w:hAnsi="Times New Roman"/>
                <w:sz w:val="24"/>
                <w:szCs w:val="24"/>
              </w:rPr>
              <w:t>2,27</w:t>
            </w:r>
          </w:p>
        </w:tc>
        <w:tc>
          <w:tcPr>
            <w:tcW w:w="3002" w:type="dxa"/>
            <w:shd w:val="clear" w:color="auto" w:fill="auto"/>
          </w:tcPr>
          <w:p w:rsidR="00C90F7C" w:rsidRPr="00842C1A" w:rsidRDefault="00C90F7C" w:rsidP="00BF09B5">
            <w:pPr>
              <w:widowControl w:val="0"/>
              <w:autoSpaceDE w:val="0"/>
              <w:autoSpaceDN w:val="0"/>
              <w:adjustRightInd w:val="0"/>
              <w:jc w:val="center"/>
              <w:rPr>
                <w:rFonts w:ascii="Times New Roman" w:hAnsi="Times New Roman"/>
                <w:sz w:val="24"/>
                <w:szCs w:val="24"/>
              </w:rPr>
            </w:pPr>
          </w:p>
          <w:p w:rsidR="00C90F7C" w:rsidRPr="00842C1A" w:rsidRDefault="00C90F7C" w:rsidP="00BF09B5">
            <w:pPr>
              <w:widowControl w:val="0"/>
              <w:autoSpaceDE w:val="0"/>
              <w:autoSpaceDN w:val="0"/>
              <w:adjustRightInd w:val="0"/>
              <w:jc w:val="center"/>
              <w:rPr>
                <w:rFonts w:ascii="Times New Roman" w:hAnsi="Times New Roman"/>
                <w:sz w:val="24"/>
                <w:szCs w:val="24"/>
              </w:rPr>
            </w:pPr>
            <w:r w:rsidRPr="00842C1A">
              <w:rPr>
                <w:rFonts w:ascii="Times New Roman" w:hAnsi="Times New Roman"/>
                <w:sz w:val="24"/>
                <w:szCs w:val="24"/>
              </w:rPr>
              <w:t>2,68</w:t>
            </w:r>
          </w:p>
          <w:p w:rsidR="00C90F7C" w:rsidRPr="00842C1A" w:rsidRDefault="00C90F7C" w:rsidP="00BF09B5">
            <w:pPr>
              <w:widowControl w:val="0"/>
              <w:autoSpaceDE w:val="0"/>
              <w:autoSpaceDN w:val="0"/>
              <w:adjustRightInd w:val="0"/>
              <w:jc w:val="center"/>
              <w:rPr>
                <w:rFonts w:ascii="Times New Roman" w:hAnsi="Times New Roman"/>
                <w:sz w:val="24"/>
                <w:szCs w:val="24"/>
              </w:rPr>
            </w:pPr>
            <w:r w:rsidRPr="00842C1A">
              <w:rPr>
                <w:rFonts w:ascii="Times New Roman" w:hAnsi="Times New Roman"/>
                <w:sz w:val="24"/>
                <w:szCs w:val="24"/>
              </w:rPr>
              <w:t>3,07</w:t>
            </w:r>
          </w:p>
        </w:tc>
      </w:tr>
    </w:tbl>
    <w:p w:rsidR="00C90F7C" w:rsidRPr="00842C1A" w:rsidRDefault="00C90F7C" w:rsidP="00C90F7C">
      <w:pPr>
        <w:pStyle w:val="Default"/>
        <w:spacing w:before="120" w:after="120"/>
        <w:ind w:firstLine="567"/>
        <w:rPr>
          <w:color w:val="auto"/>
          <w:lang w:val="uk-UA"/>
        </w:rPr>
      </w:pPr>
      <w:r w:rsidRPr="00842C1A">
        <w:rPr>
          <w:color w:val="auto"/>
          <w:lang w:val="uk-UA"/>
        </w:rPr>
        <w:t>Технічні характеристики проектованих агрегатів:</w:t>
      </w:r>
    </w:p>
    <w:p w:rsidR="00C90F7C" w:rsidRPr="00842C1A" w:rsidRDefault="00C90F7C" w:rsidP="00C90F7C">
      <w:pPr>
        <w:pStyle w:val="Default"/>
        <w:ind w:firstLine="567"/>
        <w:rPr>
          <w:color w:val="auto"/>
          <w:lang w:val="uk-UA"/>
        </w:rPr>
      </w:pPr>
      <w:r w:rsidRPr="00842C1A">
        <w:rPr>
          <w:color w:val="auto"/>
          <w:lang w:val="uk-UA"/>
        </w:rPr>
        <w:t xml:space="preserve">Діаметр робочого колеса насоса-турбіни ─ 6,3 м. </w:t>
      </w:r>
    </w:p>
    <w:p w:rsidR="00C90F7C" w:rsidRPr="00842C1A" w:rsidRDefault="00C90F7C" w:rsidP="00C90F7C">
      <w:pPr>
        <w:pStyle w:val="Default"/>
        <w:ind w:firstLine="567"/>
        <w:rPr>
          <w:color w:val="auto"/>
          <w:lang w:val="uk-UA"/>
        </w:rPr>
      </w:pPr>
      <w:r w:rsidRPr="00842C1A">
        <w:rPr>
          <w:color w:val="auto"/>
          <w:lang w:val="uk-UA"/>
        </w:rPr>
        <w:t xml:space="preserve">Частота обертання робочого колеса – 136,4 об/хв. </w:t>
      </w:r>
    </w:p>
    <w:p w:rsidR="00C90F7C" w:rsidRPr="00842C1A" w:rsidRDefault="00C90F7C" w:rsidP="00C90F7C">
      <w:pPr>
        <w:pStyle w:val="Default"/>
        <w:ind w:firstLine="567"/>
        <w:rPr>
          <w:color w:val="auto"/>
          <w:lang w:val="uk-UA"/>
        </w:rPr>
      </w:pPr>
      <w:r w:rsidRPr="00842C1A">
        <w:rPr>
          <w:color w:val="auto"/>
          <w:lang w:val="uk-UA"/>
        </w:rPr>
        <w:t xml:space="preserve">Загальна вага </w:t>
      </w:r>
      <w:proofErr w:type="spellStart"/>
      <w:r w:rsidRPr="00842C1A">
        <w:rPr>
          <w:color w:val="auto"/>
          <w:lang w:val="uk-UA"/>
        </w:rPr>
        <w:t>гідроагрегата</w:t>
      </w:r>
      <w:proofErr w:type="spellEnd"/>
      <w:r w:rsidRPr="00842C1A">
        <w:rPr>
          <w:color w:val="auto"/>
          <w:lang w:val="uk-UA"/>
        </w:rPr>
        <w:t xml:space="preserve"> у зібраному вигляді – 2100 т. </w:t>
      </w:r>
    </w:p>
    <w:p w:rsidR="00C90F7C" w:rsidRPr="00842C1A" w:rsidRDefault="00C90F7C" w:rsidP="00C90F7C">
      <w:pPr>
        <w:pStyle w:val="Default"/>
        <w:ind w:firstLine="567"/>
        <w:rPr>
          <w:color w:val="auto"/>
          <w:lang w:val="uk-UA"/>
        </w:rPr>
      </w:pPr>
      <w:r w:rsidRPr="00842C1A">
        <w:rPr>
          <w:color w:val="auto"/>
          <w:lang w:val="uk-UA"/>
        </w:rPr>
        <w:t xml:space="preserve">Максимальний напір – 88,5 м. </w:t>
      </w:r>
    </w:p>
    <w:p w:rsidR="00C90F7C" w:rsidRPr="00842C1A" w:rsidRDefault="00C90F7C" w:rsidP="00C90F7C">
      <w:pPr>
        <w:pStyle w:val="Default"/>
        <w:ind w:firstLine="567"/>
        <w:rPr>
          <w:color w:val="auto"/>
          <w:lang w:val="uk-UA"/>
        </w:rPr>
      </w:pPr>
      <w:r w:rsidRPr="00842C1A">
        <w:rPr>
          <w:color w:val="auto"/>
          <w:lang w:val="uk-UA"/>
        </w:rPr>
        <w:t xml:space="preserve">Видача потужності виконується на напругу 330 кВ. </w:t>
      </w:r>
    </w:p>
    <w:p w:rsidR="00C90F7C" w:rsidRPr="00842C1A" w:rsidRDefault="00C90F7C" w:rsidP="00C90F7C">
      <w:pPr>
        <w:pStyle w:val="Default"/>
        <w:spacing w:before="120" w:after="120"/>
        <w:ind w:firstLine="567"/>
        <w:rPr>
          <w:color w:val="auto"/>
          <w:lang w:val="uk-UA"/>
        </w:rPr>
      </w:pPr>
      <w:r w:rsidRPr="00842C1A">
        <w:rPr>
          <w:color w:val="auto"/>
          <w:lang w:val="uk-UA"/>
        </w:rPr>
        <w:t xml:space="preserve">Технічні характеристики </w:t>
      </w:r>
      <w:proofErr w:type="spellStart"/>
      <w:r w:rsidRPr="00842C1A">
        <w:rPr>
          <w:color w:val="auto"/>
          <w:lang w:val="uk-UA"/>
        </w:rPr>
        <w:t>Олександрівського</w:t>
      </w:r>
      <w:proofErr w:type="spellEnd"/>
      <w:r w:rsidRPr="00842C1A">
        <w:rPr>
          <w:color w:val="auto"/>
          <w:lang w:val="uk-UA"/>
        </w:rPr>
        <w:t xml:space="preserve"> водосховища:</w:t>
      </w:r>
    </w:p>
    <w:p w:rsidR="00C90F7C" w:rsidRPr="00842C1A" w:rsidRDefault="00C90F7C" w:rsidP="00C90F7C">
      <w:pPr>
        <w:pStyle w:val="Default"/>
        <w:ind w:firstLine="567"/>
        <w:jc w:val="both"/>
        <w:rPr>
          <w:color w:val="auto"/>
          <w:lang w:val="uk-UA"/>
        </w:rPr>
      </w:pPr>
      <w:proofErr w:type="spellStart"/>
      <w:r w:rsidRPr="00842C1A">
        <w:rPr>
          <w:color w:val="auto"/>
          <w:lang w:val="uk-UA"/>
        </w:rPr>
        <w:t>Олександрівське</w:t>
      </w:r>
      <w:proofErr w:type="spellEnd"/>
      <w:r w:rsidRPr="00842C1A">
        <w:rPr>
          <w:color w:val="auto"/>
          <w:lang w:val="uk-UA"/>
        </w:rPr>
        <w:t xml:space="preserve"> водосховище розташоване на території Миколаївської області. </w:t>
      </w:r>
    </w:p>
    <w:p w:rsidR="00C90F7C" w:rsidRPr="00842C1A" w:rsidRDefault="00C90F7C" w:rsidP="00C90F7C">
      <w:pPr>
        <w:pStyle w:val="Default"/>
        <w:ind w:firstLine="567"/>
        <w:jc w:val="both"/>
        <w:rPr>
          <w:color w:val="auto"/>
          <w:lang w:val="uk-UA"/>
        </w:rPr>
      </w:pPr>
      <w:r w:rsidRPr="00842C1A">
        <w:rPr>
          <w:color w:val="auto"/>
          <w:lang w:val="uk-UA"/>
        </w:rPr>
        <w:t xml:space="preserve">Станом на поточну дату </w:t>
      </w:r>
      <w:proofErr w:type="spellStart"/>
      <w:r w:rsidRPr="00842C1A">
        <w:rPr>
          <w:color w:val="auto"/>
          <w:lang w:val="uk-UA"/>
        </w:rPr>
        <w:t>Олександрівське</w:t>
      </w:r>
      <w:proofErr w:type="spellEnd"/>
      <w:r w:rsidRPr="00842C1A">
        <w:rPr>
          <w:color w:val="auto"/>
          <w:lang w:val="uk-UA"/>
        </w:rPr>
        <w:t xml:space="preserve"> водосховище має проектну позначку  рівня 16,0 м та корисну ємність 20,95 </w:t>
      </w:r>
      <w:proofErr w:type="spellStart"/>
      <w:r w:rsidRPr="00842C1A">
        <w:rPr>
          <w:color w:val="auto"/>
          <w:lang w:val="uk-UA"/>
        </w:rPr>
        <w:t>млн</w:t>
      </w:r>
      <w:proofErr w:type="spellEnd"/>
      <w:r w:rsidRPr="00842C1A">
        <w:rPr>
          <w:color w:val="auto"/>
          <w:lang w:val="uk-UA"/>
        </w:rPr>
        <w:t xml:space="preserve"> м</w:t>
      </w:r>
      <w:r w:rsidRPr="00842C1A">
        <w:rPr>
          <w:color w:val="auto"/>
          <w:vertAlign w:val="superscript"/>
          <w:lang w:val="uk-UA"/>
        </w:rPr>
        <w:t>3</w:t>
      </w:r>
      <w:r w:rsidRPr="00842C1A">
        <w:rPr>
          <w:color w:val="auto"/>
          <w:lang w:val="uk-UA"/>
        </w:rPr>
        <w:t>.</w:t>
      </w:r>
    </w:p>
    <w:p w:rsidR="00C90F7C" w:rsidRPr="00842C1A" w:rsidRDefault="00C90F7C" w:rsidP="00C90F7C">
      <w:pPr>
        <w:pStyle w:val="Default"/>
        <w:ind w:firstLine="567"/>
        <w:jc w:val="both"/>
        <w:rPr>
          <w:color w:val="auto"/>
          <w:lang w:val="uk-UA"/>
        </w:rPr>
      </w:pPr>
      <w:r w:rsidRPr="00842C1A">
        <w:rPr>
          <w:color w:val="auto"/>
          <w:lang w:val="uk-UA"/>
        </w:rPr>
        <w:t xml:space="preserve">При підвищенні рівня </w:t>
      </w:r>
      <w:proofErr w:type="spellStart"/>
      <w:r w:rsidRPr="00842C1A">
        <w:rPr>
          <w:color w:val="auto"/>
          <w:lang w:val="uk-UA"/>
        </w:rPr>
        <w:t>Олександрівського</w:t>
      </w:r>
      <w:proofErr w:type="spellEnd"/>
      <w:r w:rsidRPr="00842C1A">
        <w:rPr>
          <w:color w:val="auto"/>
          <w:lang w:val="uk-UA"/>
        </w:rPr>
        <w:t xml:space="preserve"> водосховища з позначки 16,0 м до позначки 16,9 м корисна ємність збільшиться до 25,97 (на 5,02 </w:t>
      </w:r>
      <w:proofErr w:type="spellStart"/>
      <w:r w:rsidRPr="00842C1A">
        <w:rPr>
          <w:color w:val="auto"/>
          <w:lang w:val="uk-UA"/>
        </w:rPr>
        <w:t>млн</w:t>
      </w:r>
      <w:proofErr w:type="spellEnd"/>
      <w:r w:rsidRPr="00842C1A">
        <w:rPr>
          <w:color w:val="auto"/>
          <w:lang w:val="uk-UA"/>
        </w:rPr>
        <w:t xml:space="preserve"> м</w:t>
      </w:r>
      <w:r w:rsidRPr="00842C1A">
        <w:rPr>
          <w:color w:val="auto"/>
          <w:vertAlign w:val="superscript"/>
          <w:lang w:val="uk-UA"/>
        </w:rPr>
        <w:t>3</w:t>
      </w:r>
      <w:r w:rsidRPr="00842C1A">
        <w:rPr>
          <w:color w:val="auto"/>
          <w:lang w:val="uk-UA"/>
        </w:rPr>
        <w:t xml:space="preserve">). </w:t>
      </w:r>
    </w:p>
    <w:p w:rsidR="00C90F7C" w:rsidRPr="00842C1A" w:rsidRDefault="00C90F7C" w:rsidP="00C90F7C">
      <w:pPr>
        <w:spacing w:before="120" w:after="120"/>
        <w:ind w:firstLine="567"/>
        <w:rPr>
          <w:rFonts w:ascii="Times New Roman" w:hAnsi="Times New Roman"/>
          <w:b/>
          <w:sz w:val="24"/>
          <w:szCs w:val="24"/>
          <w:lang w:eastAsia="en-US"/>
        </w:rPr>
      </w:pPr>
      <w:r w:rsidRPr="00842C1A">
        <w:rPr>
          <w:rFonts w:ascii="Times New Roman" w:hAnsi="Times New Roman"/>
          <w:b/>
          <w:sz w:val="24"/>
          <w:szCs w:val="24"/>
          <w:lang w:eastAsia="en-US"/>
        </w:rPr>
        <w:t xml:space="preserve">6. Екологічні та інші </w:t>
      </w:r>
      <w:r w:rsidRPr="00842C1A">
        <w:rPr>
          <w:rFonts w:ascii="Times New Roman" w:hAnsi="Times New Roman"/>
          <w:b/>
          <w:sz w:val="24"/>
          <w:szCs w:val="24"/>
        </w:rPr>
        <w:t>обмеження</w:t>
      </w:r>
      <w:r w:rsidRPr="00842C1A">
        <w:rPr>
          <w:rFonts w:ascii="Times New Roman" w:hAnsi="Times New Roman"/>
          <w:b/>
          <w:sz w:val="24"/>
          <w:szCs w:val="24"/>
          <w:lang w:eastAsia="en-US"/>
        </w:rPr>
        <w:t xml:space="preserve"> планованої діяльності за альтернативами:</w:t>
      </w:r>
    </w:p>
    <w:p w:rsidR="00C90F7C" w:rsidRPr="00842C1A" w:rsidRDefault="00C90F7C" w:rsidP="00C90F7C">
      <w:pPr>
        <w:pStyle w:val="Default"/>
        <w:ind w:firstLine="567"/>
        <w:jc w:val="both"/>
        <w:rPr>
          <w:b/>
          <w:color w:val="auto"/>
          <w:lang w:val="uk-UA"/>
        </w:rPr>
      </w:pPr>
      <w:r w:rsidRPr="00842C1A">
        <w:rPr>
          <w:b/>
          <w:color w:val="auto"/>
          <w:lang w:val="uk-UA"/>
        </w:rPr>
        <w:t>Щодо технічної альтернативи 1</w:t>
      </w:r>
    </w:p>
    <w:p w:rsidR="00C90F7C" w:rsidRPr="00842C1A" w:rsidRDefault="00C90F7C" w:rsidP="00C90F7C">
      <w:pPr>
        <w:pStyle w:val="Default"/>
        <w:ind w:firstLine="567"/>
        <w:jc w:val="both"/>
        <w:rPr>
          <w:color w:val="auto"/>
          <w:lang w:val="uk-UA"/>
        </w:rPr>
      </w:pPr>
      <w:r w:rsidRPr="00842C1A">
        <w:rPr>
          <w:color w:val="auto"/>
          <w:lang w:val="uk-UA"/>
        </w:rPr>
        <w:t xml:space="preserve">Екологічні та інші обмеження планованої діяльності встановлюються згідно Законодавства України з дотриманням нормативів </w:t>
      </w:r>
      <w:proofErr w:type="spellStart"/>
      <w:r w:rsidRPr="00842C1A">
        <w:rPr>
          <w:color w:val="auto"/>
          <w:lang w:val="uk-UA"/>
        </w:rPr>
        <w:t>гранично-допустимих</w:t>
      </w:r>
      <w:proofErr w:type="spellEnd"/>
      <w:r w:rsidRPr="00842C1A">
        <w:rPr>
          <w:color w:val="auto"/>
          <w:lang w:val="uk-UA"/>
        </w:rPr>
        <w:t xml:space="preserve"> рівнів екологічного навантаження на природне середовище, санітарних нормативів, охорони праці, пожежної безпеки, радіаційного контролю та згідно із зведеним звітом ДП «</w:t>
      </w:r>
      <w:proofErr w:type="spellStart"/>
      <w:r w:rsidRPr="00842C1A">
        <w:rPr>
          <w:color w:val="auto"/>
          <w:lang w:val="uk-UA"/>
        </w:rPr>
        <w:t>Укрдержбудекспертиза</w:t>
      </w:r>
      <w:proofErr w:type="spellEnd"/>
      <w:r w:rsidRPr="00842C1A">
        <w:rPr>
          <w:color w:val="auto"/>
          <w:lang w:val="uk-UA"/>
        </w:rPr>
        <w:t xml:space="preserve">» від 29.09.2017 № 00-1181-17/ПБ (00-2099-16ПБ) щодо проекту завершення будівництва </w:t>
      </w:r>
      <w:proofErr w:type="spellStart"/>
      <w:r w:rsidRPr="00842C1A">
        <w:rPr>
          <w:color w:val="auto"/>
          <w:lang w:val="uk-UA"/>
        </w:rPr>
        <w:t>Ташлицької</w:t>
      </w:r>
      <w:proofErr w:type="spellEnd"/>
      <w:r w:rsidRPr="00842C1A">
        <w:rPr>
          <w:color w:val="auto"/>
          <w:lang w:val="uk-UA"/>
        </w:rPr>
        <w:t xml:space="preserve"> ГАЕС.  </w:t>
      </w:r>
    </w:p>
    <w:p w:rsidR="00C90F7C" w:rsidRPr="00842C1A" w:rsidRDefault="00C90F7C" w:rsidP="00C90F7C">
      <w:pPr>
        <w:pStyle w:val="Default"/>
        <w:ind w:firstLine="567"/>
        <w:jc w:val="both"/>
        <w:rPr>
          <w:color w:val="auto"/>
          <w:lang w:val="uk-UA"/>
        </w:rPr>
      </w:pPr>
    </w:p>
    <w:p w:rsidR="00C90F7C" w:rsidRPr="00842C1A" w:rsidRDefault="00C90F7C" w:rsidP="00C90F7C">
      <w:pPr>
        <w:pStyle w:val="Default"/>
        <w:ind w:firstLine="567"/>
        <w:jc w:val="both"/>
        <w:rPr>
          <w:b/>
          <w:color w:val="auto"/>
          <w:lang w:val="uk-UA"/>
        </w:rPr>
      </w:pPr>
      <w:r w:rsidRPr="00842C1A">
        <w:rPr>
          <w:b/>
          <w:color w:val="auto"/>
          <w:lang w:val="uk-UA"/>
        </w:rPr>
        <w:t>Щодо технічної альтернативи 2</w:t>
      </w:r>
    </w:p>
    <w:p w:rsidR="00C90F7C" w:rsidRPr="00842C1A" w:rsidRDefault="00C90F7C" w:rsidP="00C90F7C">
      <w:pPr>
        <w:pStyle w:val="Default"/>
        <w:ind w:firstLine="567"/>
        <w:jc w:val="both"/>
        <w:rPr>
          <w:color w:val="auto"/>
          <w:lang w:val="uk-UA"/>
        </w:rPr>
      </w:pPr>
      <w:r w:rsidRPr="00842C1A">
        <w:rPr>
          <w:color w:val="auto"/>
          <w:lang w:val="uk-UA"/>
        </w:rPr>
        <w:t xml:space="preserve">Екологічні та інші обмеження планованої діяльності встановлюються згідно Законодавства України з дотриманням нормативів </w:t>
      </w:r>
      <w:proofErr w:type="spellStart"/>
      <w:r w:rsidRPr="00842C1A">
        <w:rPr>
          <w:color w:val="auto"/>
          <w:lang w:val="uk-UA"/>
        </w:rPr>
        <w:t>гранично-допустимих</w:t>
      </w:r>
      <w:proofErr w:type="spellEnd"/>
      <w:r w:rsidRPr="00842C1A">
        <w:rPr>
          <w:color w:val="auto"/>
          <w:lang w:val="uk-UA"/>
        </w:rPr>
        <w:t xml:space="preserve"> рівнів екологічного навантаження на природне середовище, санітарних нормативів, охорони </w:t>
      </w:r>
      <w:r w:rsidRPr="00842C1A">
        <w:rPr>
          <w:color w:val="auto"/>
          <w:lang w:val="uk-UA"/>
        </w:rPr>
        <w:lastRenderedPageBreak/>
        <w:t>праці, пожежної безпеки, радіаційного контролю та ЗУ «Про природно-заповідний фонд України».</w:t>
      </w:r>
    </w:p>
    <w:p w:rsidR="00C90F7C" w:rsidRPr="00842C1A" w:rsidRDefault="00C90F7C" w:rsidP="00C90F7C">
      <w:pPr>
        <w:pStyle w:val="Default"/>
        <w:spacing w:before="120"/>
        <w:ind w:firstLine="567"/>
        <w:jc w:val="both"/>
        <w:rPr>
          <w:b/>
          <w:lang w:val="uk-UA" w:eastAsia="en-US"/>
        </w:rPr>
      </w:pPr>
      <w:r w:rsidRPr="00842C1A">
        <w:rPr>
          <w:b/>
          <w:color w:val="auto"/>
          <w:lang w:val="uk-UA"/>
        </w:rPr>
        <w:t xml:space="preserve"> </w:t>
      </w:r>
      <w:r w:rsidRPr="00842C1A">
        <w:rPr>
          <w:b/>
          <w:lang w:val="uk-UA" w:eastAsia="en-US"/>
        </w:rPr>
        <w:t>Щодо територіальної альтернативи 1</w:t>
      </w:r>
    </w:p>
    <w:p w:rsidR="00C90F7C" w:rsidRPr="00842C1A" w:rsidRDefault="00C90F7C" w:rsidP="00C90F7C">
      <w:pPr>
        <w:ind w:right="37" w:firstLine="567"/>
        <w:jc w:val="both"/>
      </w:pPr>
      <w:r w:rsidRPr="00842C1A">
        <w:rPr>
          <w:rFonts w:ascii="Times New Roman" w:hAnsi="Times New Roman"/>
          <w:sz w:val="24"/>
          <w:szCs w:val="24"/>
        </w:rPr>
        <w:t>Дотримання визначених зон підтоплення</w:t>
      </w:r>
      <w:r w:rsidRPr="00842C1A">
        <w:t>.</w:t>
      </w:r>
    </w:p>
    <w:p w:rsidR="00C90F7C" w:rsidRPr="00842C1A" w:rsidRDefault="00C90F7C" w:rsidP="00C90F7C">
      <w:pPr>
        <w:spacing w:before="120"/>
        <w:ind w:firstLine="567"/>
        <w:rPr>
          <w:rFonts w:ascii="Times New Roman" w:hAnsi="Times New Roman"/>
          <w:b/>
          <w:sz w:val="24"/>
          <w:szCs w:val="24"/>
          <w:lang w:eastAsia="en-US"/>
        </w:rPr>
      </w:pPr>
      <w:r w:rsidRPr="00842C1A">
        <w:rPr>
          <w:rFonts w:ascii="Times New Roman" w:hAnsi="Times New Roman"/>
          <w:b/>
          <w:sz w:val="24"/>
          <w:szCs w:val="24"/>
          <w:lang w:eastAsia="en-US"/>
        </w:rPr>
        <w:t>Щодо територіальної альтернативи 2</w:t>
      </w:r>
    </w:p>
    <w:p w:rsidR="00C90F7C" w:rsidRPr="00842C1A" w:rsidRDefault="00C90F7C" w:rsidP="00C90F7C">
      <w:pPr>
        <w:ind w:right="37" w:firstLine="567"/>
        <w:jc w:val="both"/>
        <w:rPr>
          <w:rFonts w:ascii="Times New Roman" w:hAnsi="Times New Roman"/>
          <w:sz w:val="24"/>
          <w:szCs w:val="24"/>
        </w:rPr>
      </w:pPr>
      <w:r w:rsidRPr="00842C1A">
        <w:rPr>
          <w:rFonts w:ascii="Times New Roman" w:hAnsi="Times New Roman"/>
          <w:sz w:val="24"/>
          <w:szCs w:val="24"/>
        </w:rPr>
        <w:t>У зв’язку з відсутністю територіальної альтернативи 2 екологічні обмеження не встановлюються.</w:t>
      </w:r>
    </w:p>
    <w:p w:rsidR="00C90F7C" w:rsidRPr="00842C1A" w:rsidRDefault="00C90F7C" w:rsidP="00C90F7C">
      <w:pPr>
        <w:pStyle w:val="Default"/>
        <w:spacing w:before="120" w:after="120"/>
        <w:ind w:firstLine="567"/>
        <w:jc w:val="both"/>
        <w:rPr>
          <w:b/>
          <w:color w:val="auto"/>
          <w:lang w:val="uk-UA"/>
        </w:rPr>
      </w:pPr>
      <w:r w:rsidRPr="00842C1A">
        <w:rPr>
          <w:b/>
          <w:color w:val="auto"/>
          <w:lang w:val="uk-UA" w:eastAsia="en-US"/>
        </w:rPr>
        <w:t>7</w:t>
      </w:r>
      <w:r w:rsidRPr="00842C1A">
        <w:rPr>
          <w:b/>
          <w:color w:val="auto"/>
          <w:lang w:val="uk-UA"/>
        </w:rPr>
        <w:t xml:space="preserve">. Необхідна </w:t>
      </w:r>
      <w:proofErr w:type="spellStart"/>
      <w:r w:rsidRPr="00842C1A">
        <w:rPr>
          <w:b/>
          <w:color w:val="auto"/>
          <w:lang w:val="uk-UA"/>
        </w:rPr>
        <w:t>еколого-інженерна</w:t>
      </w:r>
      <w:proofErr w:type="spellEnd"/>
      <w:r w:rsidRPr="00842C1A">
        <w:rPr>
          <w:b/>
          <w:color w:val="auto"/>
          <w:lang w:val="uk-UA"/>
        </w:rPr>
        <w:t xml:space="preserve"> підготовка і захист території за альтернативами:</w:t>
      </w:r>
    </w:p>
    <w:p w:rsidR="00C90F7C" w:rsidRPr="00842C1A" w:rsidRDefault="00C90F7C" w:rsidP="00C90F7C">
      <w:pPr>
        <w:widowControl w:val="0"/>
        <w:autoSpaceDE w:val="0"/>
        <w:autoSpaceDN w:val="0"/>
        <w:adjustRightInd w:val="0"/>
        <w:spacing w:before="120" w:after="120"/>
        <w:rPr>
          <w:rFonts w:ascii="Times New Roman" w:hAnsi="Times New Roman"/>
          <w:b/>
          <w:sz w:val="24"/>
          <w:szCs w:val="24"/>
          <w:lang w:eastAsia="en-US"/>
        </w:rPr>
      </w:pPr>
      <w:r w:rsidRPr="00842C1A">
        <w:rPr>
          <w:rFonts w:ascii="Times New Roman" w:hAnsi="Times New Roman"/>
          <w:b/>
          <w:sz w:val="24"/>
          <w:szCs w:val="24"/>
          <w:lang w:eastAsia="en-US"/>
        </w:rPr>
        <w:t>Щодо технічної альтернативи 1</w:t>
      </w:r>
    </w:p>
    <w:p w:rsidR="00C90F7C" w:rsidRPr="00842C1A" w:rsidRDefault="00C90F7C" w:rsidP="00C90F7C">
      <w:pPr>
        <w:widowControl w:val="0"/>
        <w:tabs>
          <w:tab w:val="left" w:pos="567"/>
        </w:tabs>
        <w:autoSpaceDE w:val="0"/>
        <w:autoSpaceDN w:val="0"/>
        <w:adjustRightInd w:val="0"/>
        <w:spacing w:before="120"/>
        <w:ind w:firstLine="567"/>
        <w:jc w:val="both"/>
        <w:rPr>
          <w:rFonts w:ascii="Times New Roman" w:hAnsi="Times New Roman"/>
          <w:sz w:val="24"/>
          <w:szCs w:val="24"/>
        </w:rPr>
      </w:pPr>
      <w:r w:rsidRPr="00842C1A">
        <w:rPr>
          <w:rFonts w:ascii="Times New Roman" w:hAnsi="Times New Roman"/>
          <w:sz w:val="24"/>
          <w:szCs w:val="24"/>
        </w:rPr>
        <w:t xml:space="preserve">При заповненні рівня </w:t>
      </w:r>
      <w:proofErr w:type="spellStart"/>
      <w:r w:rsidRPr="00842C1A">
        <w:rPr>
          <w:rFonts w:ascii="Times New Roman" w:hAnsi="Times New Roman"/>
          <w:sz w:val="24"/>
          <w:szCs w:val="24"/>
        </w:rPr>
        <w:t>Олександрівського</w:t>
      </w:r>
      <w:proofErr w:type="spellEnd"/>
      <w:r w:rsidRPr="00842C1A">
        <w:rPr>
          <w:rFonts w:ascii="Times New Roman" w:hAnsi="Times New Roman"/>
          <w:sz w:val="24"/>
          <w:szCs w:val="24"/>
        </w:rPr>
        <w:t xml:space="preserve"> водосховища з позначки 16,0 м до позначки 16,9 м передбачено виконання таких заходів: </w:t>
      </w:r>
    </w:p>
    <w:p w:rsidR="00C90F7C" w:rsidRPr="00842C1A" w:rsidRDefault="00C90F7C" w:rsidP="00C90F7C">
      <w:pPr>
        <w:numPr>
          <w:ilvl w:val="0"/>
          <w:numId w:val="2"/>
        </w:numPr>
        <w:autoSpaceDE w:val="0"/>
        <w:autoSpaceDN w:val="0"/>
        <w:adjustRightInd w:val="0"/>
        <w:spacing w:after="28"/>
        <w:ind w:left="993" w:hanging="426"/>
        <w:jc w:val="both"/>
        <w:rPr>
          <w:rFonts w:ascii="Times New Roman" w:hAnsi="Times New Roman"/>
          <w:sz w:val="24"/>
          <w:szCs w:val="24"/>
        </w:rPr>
      </w:pPr>
      <w:r w:rsidRPr="00842C1A">
        <w:rPr>
          <w:rFonts w:ascii="Times New Roman" w:hAnsi="Times New Roman"/>
          <w:sz w:val="24"/>
          <w:szCs w:val="24"/>
        </w:rPr>
        <w:t xml:space="preserve">санітарна підготовка ложа водосховища на території між позначками 16,0 м і 16,9 м; </w:t>
      </w:r>
    </w:p>
    <w:p w:rsidR="00C90F7C" w:rsidRPr="00842C1A" w:rsidRDefault="00C90F7C" w:rsidP="00C90F7C">
      <w:pPr>
        <w:numPr>
          <w:ilvl w:val="0"/>
          <w:numId w:val="2"/>
        </w:numPr>
        <w:autoSpaceDE w:val="0"/>
        <w:autoSpaceDN w:val="0"/>
        <w:adjustRightInd w:val="0"/>
        <w:spacing w:after="28"/>
        <w:ind w:left="993" w:hanging="426"/>
        <w:jc w:val="both"/>
        <w:rPr>
          <w:rFonts w:ascii="Times New Roman" w:hAnsi="Times New Roman"/>
          <w:sz w:val="24"/>
          <w:szCs w:val="24"/>
        </w:rPr>
      </w:pPr>
      <w:proofErr w:type="spellStart"/>
      <w:r w:rsidRPr="00842C1A">
        <w:rPr>
          <w:rFonts w:ascii="Times New Roman" w:hAnsi="Times New Roman"/>
          <w:sz w:val="24"/>
          <w:szCs w:val="24"/>
        </w:rPr>
        <w:t>лісоочищення</w:t>
      </w:r>
      <w:proofErr w:type="spellEnd"/>
      <w:r w:rsidRPr="00842C1A">
        <w:rPr>
          <w:rFonts w:ascii="Times New Roman" w:hAnsi="Times New Roman"/>
          <w:sz w:val="24"/>
          <w:szCs w:val="24"/>
        </w:rPr>
        <w:t xml:space="preserve"> вторинної порослі на території між позначками 16,0 м і 16,9 м; </w:t>
      </w:r>
    </w:p>
    <w:p w:rsidR="00C90F7C" w:rsidRPr="00842C1A" w:rsidRDefault="00C90F7C" w:rsidP="00C90F7C">
      <w:pPr>
        <w:numPr>
          <w:ilvl w:val="0"/>
          <w:numId w:val="2"/>
        </w:numPr>
        <w:autoSpaceDE w:val="0"/>
        <w:autoSpaceDN w:val="0"/>
        <w:adjustRightInd w:val="0"/>
        <w:spacing w:after="28"/>
        <w:ind w:left="993" w:hanging="426"/>
        <w:jc w:val="both"/>
        <w:rPr>
          <w:rFonts w:ascii="Times New Roman" w:hAnsi="Times New Roman"/>
          <w:sz w:val="24"/>
          <w:szCs w:val="24"/>
        </w:rPr>
      </w:pPr>
      <w:r w:rsidRPr="00842C1A">
        <w:rPr>
          <w:rFonts w:ascii="Times New Roman" w:hAnsi="Times New Roman"/>
          <w:sz w:val="24"/>
          <w:szCs w:val="24"/>
        </w:rPr>
        <w:t xml:space="preserve">додаткове кріплення берегів </w:t>
      </w:r>
      <w:proofErr w:type="spellStart"/>
      <w:r w:rsidRPr="00842C1A">
        <w:rPr>
          <w:rFonts w:ascii="Times New Roman" w:hAnsi="Times New Roman"/>
          <w:sz w:val="24"/>
          <w:szCs w:val="24"/>
        </w:rPr>
        <w:t>Олександрівського</w:t>
      </w:r>
      <w:proofErr w:type="spellEnd"/>
      <w:r w:rsidRPr="00842C1A">
        <w:rPr>
          <w:rFonts w:ascii="Times New Roman" w:hAnsi="Times New Roman"/>
          <w:sz w:val="24"/>
          <w:szCs w:val="24"/>
        </w:rPr>
        <w:t xml:space="preserve"> водосховища; </w:t>
      </w:r>
    </w:p>
    <w:p w:rsidR="00C90F7C" w:rsidRPr="00842C1A" w:rsidRDefault="00C90F7C" w:rsidP="00C90F7C">
      <w:pPr>
        <w:numPr>
          <w:ilvl w:val="0"/>
          <w:numId w:val="2"/>
        </w:numPr>
        <w:autoSpaceDE w:val="0"/>
        <w:autoSpaceDN w:val="0"/>
        <w:adjustRightInd w:val="0"/>
        <w:spacing w:after="28"/>
        <w:ind w:left="993" w:hanging="426"/>
        <w:jc w:val="both"/>
        <w:rPr>
          <w:rFonts w:ascii="Times New Roman" w:hAnsi="Times New Roman"/>
          <w:sz w:val="24"/>
          <w:szCs w:val="24"/>
        </w:rPr>
      </w:pPr>
      <w:r w:rsidRPr="00842C1A">
        <w:rPr>
          <w:rFonts w:ascii="Times New Roman" w:hAnsi="Times New Roman"/>
          <w:sz w:val="24"/>
          <w:szCs w:val="24"/>
        </w:rPr>
        <w:t xml:space="preserve">будівництво під’їзних автодоріг до ділянок додаткового кріплення берегів; </w:t>
      </w:r>
    </w:p>
    <w:p w:rsidR="00C90F7C" w:rsidRPr="00842C1A" w:rsidRDefault="00C90F7C" w:rsidP="00C90F7C">
      <w:pPr>
        <w:numPr>
          <w:ilvl w:val="0"/>
          <w:numId w:val="2"/>
        </w:numPr>
        <w:autoSpaceDE w:val="0"/>
        <w:autoSpaceDN w:val="0"/>
        <w:adjustRightInd w:val="0"/>
        <w:spacing w:after="28"/>
        <w:ind w:left="993" w:hanging="426"/>
        <w:jc w:val="both"/>
        <w:rPr>
          <w:rFonts w:ascii="Times New Roman" w:hAnsi="Times New Roman"/>
          <w:sz w:val="24"/>
          <w:szCs w:val="24"/>
        </w:rPr>
      </w:pPr>
      <w:r w:rsidRPr="00842C1A">
        <w:rPr>
          <w:rFonts w:ascii="Times New Roman" w:hAnsi="Times New Roman"/>
          <w:sz w:val="24"/>
          <w:szCs w:val="24"/>
        </w:rPr>
        <w:t xml:space="preserve">компенсація збитків рибному господарству; </w:t>
      </w:r>
    </w:p>
    <w:p w:rsidR="00C90F7C" w:rsidRPr="00842C1A" w:rsidRDefault="00C90F7C" w:rsidP="00C90F7C">
      <w:pPr>
        <w:numPr>
          <w:ilvl w:val="0"/>
          <w:numId w:val="2"/>
        </w:numPr>
        <w:autoSpaceDE w:val="0"/>
        <w:autoSpaceDN w:val="0"/>
        <w:adjustRightInd w:val="0"/>
        <w:spacing w:after="28"/>
        <w:ind w:left="993" w:hanging="426"/>
        <w:jc w:val="both"/>
        <w:rPr>
          <w:rFonts w:ascii="Times New Roman" w:hAnsi="Times New Roman"/>
          <w:sz w:val="24"/>
          <w:szCs w:val="24"/>
        </w:rPr>
      </w:pPr>
      <w:r w:rsidRPr="00842C1A">
        <w:rPr>
          <w:rFonts w:ascii="Times New Roman" w:hAnsi="Times New Roman"/>
          <w:sz w:val="24"/>
          <w:szCs w:val="24"/>
        </w:rPr>
        <w:t xml:space="preserve">заходи щодо збереження тваринного та рослинного світу; </w:t>
      </w:r>
    </w:p>
    <w:p w:rsidR="00C90F7C" w:rsidRPr="00842C1A" w:rsidRDefault="00C90F7C" w:rsidP="00C90F7C">
      <w:pPr>
        <w:numPr>
          <w:ilvl w:val="0"/>
          <w:numId w:val="2"/>
        </w:numPr>
        <w:autoSpaceDE w:val="0"/>
        <w:autoSpaceDN w:val="0"/>
        <w:adjustRightInd w:val="0"/>
        <w:spacing w:after="28"/>
        <w:ind w:left="993" w:hanging="426"/>
        <w:jc w:val="both"/>
        <w:rPr>
          <w:rFonts w:ascii="Times New Roman" w:hAnsi="Times New Roman"/>
          <w:sz w:val="24"/>
          <w:szCs w:val="24"/>
        </w:rPr>
      </w:pPr>
      <w:r w:rsidRPr="00842C1A">
        <w:rPr>
          <w:rFonts w:ascii="Times New Roman" w:hAnsi="Times New Roman"/>
          <w:sz w:val="24"/>
          <w:szCs w:val="24"/>
        </w:rPr>
        <w:t xml:space="preserve">продовження моніторингу навколишнього середовища. </w:t>
      </w:r>
    </w:p>
    <w:p w:rsidR="00C90F7C" w:rsidRPr="00842C1A" w:rsidRDefault="00C90F7C" w:rsidP="00C90F7C">
      <w:pPr>
        <w:widowControl w:val="0"/>
        <w:autoSpaceDE w:val="0"/>
        <w:autoSpaceDN w:val="0"/>
        <w:adjustRightInd w:val="0"/>
        <w:spacing w:before="120" w:after="120"/>
        <w:jc w:val="both"/>
        <w:rPr>
          <w:rFonts w:ascii="Times New Roman" w:hAnsi="Times New Roman"/>
          <w:b/>
          <w:sz w:val="24"/>
          <w:szCs w:val="24"/>
          <w:lang w:eastAsia="en-US"/>
        </w:rPr>
      </w:pPr>
      <w:r w:rsidRPr="00842C1A">
        <w:rPr>
          <w:rFonts w:ascii="Times New Roman" w:hAnsi="Times New Roman"/>
          <w:b/>
          <w:sz w:val="24"/>
          <w:szCs w:val="24"/>
          <w:lang w:eastAsia="en-US"/>
        </w:rPr>
        <w:t>Щодо технічної альтернативи 2</w:t>
      </w:r>
    </w:p>
    <w:p w:rsidR="00C90F7C" w:rsidRPr="00842C1A" w:rsidRDefault="00C90F7C" w:rsidP="00C90F7C">
      <w:pPr>
        <w:widowControl w:val="0"/>
        <w:tabs>
          <w:tab w:val="left" w:pos="567"/>
        </w:tabs>
        <w:autoSpaceDE w:val="0"/>
        <w:autoSpaceDN w:val="0"/>
        <w:adjustRightInd w:val="0"/>
        <w:spacing w:before="120"/>
        <w:ind w:firstLine="567"/>
        <w:jc w:val="both"/>
        <w:rPr>
          <w:rFonts w:ascii="Times New Roman" w:hAnsi="Times New Roman"/>
          <w:sz w:val="24"/>
          <w:szCs w:val="24"/>
        </w:rPr>
      </w:pPr>
      <w:r w:rsidRPr="00842C1A">
        <w:rPr>
          <w:rFonts w:ascii="Times New Roman" w:hAnsi="Times New Roman"/>
          <w:sz w:val="24"/>
          <w:szCs w:val="24"/>
        </w:rPr>
        <w:t xml:space="preserve">При заповненні рівня </w:t>
      </w:r>
      <w:proofErr w:type="spellStart"/>
      <w:r w:rsidRPr="00842C1A">
        <w:rPr>
          <w:rFonts w:ascii="Times New Roman" w:hAnsi="Times New Roman"/>
          <w:sz w:val="24"/>
          <w:szCs w:val="24"/>
        </w:rPr>
        <w:t>Олександрівського</w:t>
      </w:r>
      <w:proofErr w:type="spellEnd"/>
      <w:r w:rsidRPr="00842C1A">
        <w:rPr>
          <w:rFonts w:ascii="Times New Roman" w:hAnsi="Times New Roman"/>
          <w:sz w:val="24"/>
          <w:szCs w:val="24"/>
        </w:rPr>
        <w:t xml:space="preserve"> водосховища з позначки 16,0 м до позначки 20,7 м передбачено виконання таких заходів: </w:t>
      </w:r>
    </w:p>
    <w:p w:rsidR="00C90F7C" w:rsidRPr="00842C1A" w:rsidRDefault="00C90F7C" w:rsidP="00C90F7C">
      <w:pPr>
        <w:numPr>
          <w:ilvl w:val="0"/>
          <w:numId w:val="2"/>
        </w:numPr>
        <w:autoSpaceDE w:val="0"/>
        <w:autoSpaceDN w:val="0"/>
        <w:adjustRightInd w:val="0"/>
        <w:spacing w:after="28"/>
        <w:ind w:left="993" w:hanging="426"/>
        <w:jc w:val="both"/>
        <w:rPr>
          <w:rFonts w:ascii="Times New Roman" w:hAnsi="Times New Roman"/>
          <w:sz w:val="24"/>
          <w:szCs w:val="24"/>
        </w:rPr>
      </w:pPr>
      <w:r w:rsidRPr="00842C1A">
        <w:rPr>
          <w:rFonts w:ascii="Times New Roman" w:hAnsi="Times New Roman"/>
          <w:sz w:val="24"/>
          <w:szCs w:val="24"/>
        </w:rPr>
        <w:t xml:space="preserve">санітарна підготовка ложа водосховища на території між позначками 16,0 м і 20,7 м; </w:t>
      </w:r>
    </w:p>
    <w:p w:rsidR="00C90F7C" w:rsidRPr="00842C1A" w:rsidRDefault="00C90F7C" w:rsidP="00C90F7C">
      <w:pPr>
        <w:numPr>
          <w:ilvl w:val="0"/>
          <w:numId w:val="2"/>
        </w:numPr>
        <w:autoSpaceDE w:val="0"/>
        <w:autoSpaceDN w:val="0"/>
        <w:adjustRightInd w:val="0"/>
        <w:spacing w:after="28"/>
        <w:ind w:left="993" w:hanging="426"/>
        <w:jc w:val="both"/>
        <w:rPr>
          <w:rFonts w:ascii="Times New Roman" w:hAnsi="Times New Roman"/>
          <w:sz w:val="24"/>
          <w:szCs w:val="24"/>
        </w:rPr>
      </w:pPr>
      <w:proofErr w:type="spellStart"/>
      <w:r w:rsidRPr="00842C1A">
        <w:rPr>
          <w:rFonts w:ascii="Times New Roman" w:hAnsi="Times New Roman"/>
          <w:sz w:val="24"/>
          <w:szCs w:val="24"/>
        </w:rPr>
        <w:t>лісоочищення</w:t>
      </w:r>
      <w:proofErr w:type="spellEnd"/>
      <w:r w:rsidRPr="00842C1A">
        <w:rPr>
          <w:rFonts w:ascii="Times New Roman" w:hAnsi="Times New Roman"/>
          <w:sz w:val="24"/>
          <w:szCs w:val="24"/>
        </w:rPr>
        <w:t xml:space="preserve"> вторинної порослі на території між позначками 16,0 м і 20,7 м; </w:t>
      </w:r>
    </w:p>
    <w:p w:rsidR="00C90F7C" w:rsidRPr="00842C1A" w:rsidRDefault="00C90F7C" w:rsidP="00C90F7C">
      <w:pPr>
        <w:numPr>
          <w:ilvl w:val="0"/>
          <w:numId w:val="2"/>
        </w:numPr>
        <w:autoSpaceDE w:val="0"/>
        <w:autoSpaceDN w:val="0"/>
        <w:adjustRightInd w:val="0"/>
        <w:spacing w:after="28"/>
        <w:ind w:left="993" w:hanging="426"/>
        <w:jc w:val="both"/>
        <w:rPr>
          <w:rFonts w:ascii="Times New Roman" w:hAnsi="Times New Roman"/>
          <w:sz w:val="24"/>
          <w:szCs w:val="24"/>
        </w:rPr>
      </w:pPr>
      <w:r w:rsidRPr="00842C1A">
        <w:rPr>
          <w:rFonts w:ascii="Times New Roman" w:hAnsi="Times New Roman"/>
          <w:sz w:val="24"/>
          <w:szCs w:val="24"/>
        </w:rPr>
        <w:t xml:space="preserve">додаткове кріплення берегів </w:t>
      </w:r>
      <w:proofErr w:type="spellStart"/>
      <w:r w:rsidRPr="00842C1A">
        <w:rPr>
          <w:rFonts w:ascii="Times New Roman" w:hAnsi="Times New Roman"/>
          <w:sz w:val="24"/>
          <w:szCs w:val="24"/>
        </w:rPr>
        <w:t>Олександрівського</w:t>
      </w:r>
      <w:proofErr w:type="spellEnd"/>
      <w:r w:rsidRPr="00842C1A">
        <w:rPr>
          <w:rFonts w:ascii="Times New Roman" w:hAnsi="Times New Roman"/>
          <w:sz w:val="24"/>
          <w:szCs w:val="24"/>
        </w:rPr>
        <w:t xml:space="preserve"> водосховища; </w:t>
      </w:r>
    </w:p>
    <w:p w:rsidR="00C90F7C" w:rsidRPr="00842C1A" w:rsidRDefault="00C90F7C" w:rsidP="00C90F7C">
      <w:pPr>
        <w:numPr>
          <w:ilvl w:val="0"/>
          <w:numId w:val="2"/>
        </w:numPr>
        <w:autoSpaceDE w:val="0"/>
        <w:autoSpaceDN w:val="0"/>
        <w:adjustRightInd w:val="0"/>
        <w:spacing w:after="28"/>
        <w:ind w:left="993" w:hanging="426"/>
        <w:jc w:val="both"/>
        <w:rPr>
          <w:rFonts w:ascii="Times New Roman" w:hAnsi="Times New Roman"/>
          <w:sz w:val="24"/>
          <w:szCs w:val="24"/>
        </w:rPr>
      </w:pPr>
      <w:r w:rsidRPr="00842C1A">
        <w:rPr>
          <w:rFonts w:ascii="Times New Roman" w:hAnsi="Times New Roman"/>
          <w:sz w:val="24"/>
          <w:szCs w:val="24"/>
        </w:rPr>
        <w:t xml:space="preserve">будівництво під’їзних автодоріг до ділянок додаткового кріплення берегів; </w:t>
      </w:r>
    </w:p>
    <w:p w:rsidR="00C90F7C" w:rsidRPr="00842C1A" w:rsidRDefault="00C90F7C" w:rsidP="00C90F7C">
      <w:pPr>
        <w:numPr>
          <w:ilvl w:val="0"/>
          <w:numId w:val="2"/>
        </w:numPr>
        <w:autoSpaceDE w:val="0"/>
        <w:autoSpaceDN w:val="0"/>
        <w:adjustRightInd w:val="0"/>
        <w:spacing w:after="28"/>
        <w:ind w:left="993" w:hanging="426"/>
        <w:jc w:val="both"/>
        <w:rPr>
          <w:rFonts w:ascii="Times New Roman" w:hAnsi="Times New Roman"/>
          <w:sz w:val="24"/>
          <w:szCs w:val="24"/>
        </w:rPr>
      </w:pPr>
      <w:r w:rsidRPr="00842C1A">
        <w:rPr>
          <w:rFonts w:ascii="Times New Roman" w:hAnsi="Times New Roman"/>
          <w:sz w:val="24"/>
          <w:szCs w:val="24"/>
        </w:rPr>
        <w:t xml:space="preserve">компенсація збитків рибному господарству; </w:t>
      </w:r>
    </w:p>
    <w:p w:rsidR="00C90F7C" w:rsidRPr="00842C1A" w:rsidRDefault="00C90F7C" w:rsidP="00C90F7C">
      <w:pPr>
        <w:numPr>
          <w:ilvl w:val="0"/>
          <w:numId w:val="2"/>
        </w:numPr>
        <w:autoSpaceDE w:val="0"/>
        <w:autoSpaceDN w:val="0"/>
        <w:adjustRightInd w:val="0"/>
        <w:spacing w:after="28"/>
        <w:ind w:left="993" w:hanging="426"/>
        <w:jc w:val="both"/>
        <w:rPr>
          <w:rFonts w:ascii="Times New Roman" w:hAnsi="Times New Roman"/>
          <w:sz w:val="24"/>
          <w:szCs w:val="24"/>
        </w:rPr>
      </w:pPr>
      <w:r w:rsidRPr="00842C1A">
        <w:rPr>
          <w:rFonts w:ascii="Times New Roman" w:hAnsi="Times New Roman"/>
          <w:sz w:val="24"/>
          <w:szCs w:val="24"/>
        </w:rPr>
        <w:t>додаткові заходи щодо збереження тваринного та рослинного світу;</w:t>
      </w:r>
    </w:p>
    <w:p w:rsidR="00C90F7C" w:rsidRPr="00842C1A" w:rsidRDefault="00C90F7C" w:rsidP="00C90F7C">
      <w:pPr>
        <w:pStyle w:val="a5"/>
        <w:numPr>
          <w:ilvl w:val="0"/>
          <w:numId w:val="2"/>
        </w:numPr>
        <w:spacing w:after="28"/>
        <w:ind w:left="993" w:right="53" w:hanging="426"/>
        <w:jc w:val="both"/>
        <w:rPr>
          <w:rFonts w:ascii="Times New Roman" w:hAnsi="Times New Roman"/>
          <w:lang w:val="uk-UA"/>
        </w:rPr>
      </w:pPr>
      <w:r w:rsidRPr="00842C1A">
        <w:rPr>
          <w:rFonts w:ascii="Times New Roman" w:hAnsi="Times New Roman"/>
          <w:lang w:val="uk-UA"/>
        </w:rPr>
        <w:t>розширення зони моніторингу навколишнього середовища</w:t>
      </w:r>
      <w:r w:rsidRPr="00842C1A">
        <w:rPr>
          <w:rFonts w:ascii="Times New Roman" w:hAnsi="Times New Roman"/>
          <w:lang w:val="uk-UA" w:eastAsia="ru-RU"/>
        </w:rPr>
        <w:t>.</w:t>
      </w:r>
    </w:p>
    <w:p w:rsidR="00C90F7C" w:rsidRPr="00842C1A" w:rsidRDefault="00C90F7C" w:rsidP="00C90F7C">
      <w:pPr>
        <w:widowControl w:val="0"/>
        <w:autoSpaceDE w:val="0"/>
        <w:autoSpaceDN w:val="0"/>
        <w:adjustRightInd w:val="0"/>
        <w:spacing w:before="120" w:after="120"/>
        <w:jc w:val="both"/>
        <w:rPr>
          <w:rFonts w:ascii="Times New Roman" w:hAnsi="Times New Roman"/>
          <w:b/>
          <w:sz w:val="24"/>
          <w:szCs w:val="24"/>
          <w:lang w:eastAsia="en-US"/>
        </w:rPr>
      </w:pPr>
      <w:r w:rsidRPr="00842C1A">
        <w:rPr>
          <w:rFonts w:ascii="Times New Roman" w:hAnsi="Times New Roman"/>
          <w:b/>
          <w:sz w:val="24"/>
          <w:szCs w:val="24"/>
          <w:lang w:eastAsia="en-US"/>
        </w:rPr>
        <w:t>Щодо територіальної альтернативи 1</w:t>
      </w:r>
    </w:p>
    <w:p w:rsidR="00C90F7C" w:rsidRPr="00842C1A" w:rsidRDefault="00C90F7C" w:rsidP="00C90F7C">
      <w:pPr>
        <w:widowControl w:val="0"/>
        <w:numPr>
          <w:ilvl w:val="0"/>
          <w:numId w:val="2"/>
        </w:numPr>
        <w:autoSpaceDE w:val="0"/>
        <w:autoSpaceDN w:val="0"/>
        <w:adjustRightInd w:val="0"/>
        <w:spacing w:after="28"/>
        <w:ind w:left="0" w:firstLine="709"/>
        <w:contextualSpacing/>
        <w:jc w:val="both"/>
        <w:rPr>
          <w:rFonts w:ascii="Times New Roman" w:hAnsi="Times New Roman"/>
          <w:sz w:val="24"/>
          <w:szCs w:val="24"/>
        </w:rPr>
      </w:pPr>
      <w:r w:rsidRPr="00842C1A">
        <w:rPr>
          <w:rFonts w:ascii="Times New Roman" w:hAnsi="Times New Roman"/>
          <w:sz w:val="24"/>
          <w:szCs w:val="24"/>
        </w:rPr>
        <w:t xml:space="preserve">заходи з рекреаційного використання водосховища; </w:t>
      </w:r>
    </w:p>
    <w:p w:rsidR="00C90F7C" w:rsidRPr="00842C1A" w:rsidRDefault="00C90F7C" w:rsidP="00C90F7C">
      <w:pPr>
        <w:widowControl w:val="0"/>
        <w:numPr>
          <w:ilvl w:val="0"/>
          <w:numId w:val="2"/>
        </w:numPr>
        <w:autoSpaceDE w:val="0"/>
        <w:autoSpaceDN w:val="0"/>
        <w:adjustRightInd w:val="0"/>
        <w:spacing w:after="28"/>
        <w:ind w:left="0" w:firstLine="709"/>
        <w:contextualSpacing/>
        <w:jc w:val="both"/>
        <w:rPr>
          <w:rFonts w:ascii="Times New Roman" w:hAnsi="Times New Roman"/>
          <w:sz w:val="24"/>
          <w:szCs w:val="24"/>
        </w:rPr>
      </w:pPr>
      <w:r w:rsidRPr="00842C1A">
        <w:rPr>
          <w:rFonts w:ascii="Times New Roman" w:hAnsi="Times New Roman"/>
          <w:sz w:val="24"/>
          <w:szCs w:val="24"/>
        </w:rPr>
        <w:t xml:space="preserve">заходи з улаштування та розширення Національного природного парку «Бузький Гард». </w:t>
      </w:r>
    </w:p>
    <w:p w:rsidR="00C90F7C" w:rsidRPr="00842C1A" w:rsidRDefault="00C90F7C" w:rsidP="00C90F7C">
      <w:pPr>
        <w:widowControl w:val="0"/>
        <w:autoSpaceDE w:val="0"/>
        <w:autoSpaceDN w:val="0"/>
        <w:adjustRightInd w:val="0"/>
        <w:spacing w:before="120" w:after="120"/>
        <w:jc w:val="both"/>
        <w:rPr>
          <w:rFonts w:ascii="Times New Roman" w:hAnsi="Times New Roman"/>
          <w:b/>
          <w:sz w:val="24"/>
          <w:szCs w:val="24"/>
          <w:lang w:eastAsia="en-US"/>
        </w:rPr>
      </w:pPr>
      <w:r w:rsidRPr="00842C1A">
        <w:rPr>
          <w:rFonts w:ascii="Times New Roman" w:hAnsi="Times New Roman"/>
          <w:b/>
          <w:sz w:val="24"/>
          <w:szCs w:val="24"/>
          <w:lang w:eastAsia="en-US"/>
        </w:rPr>
        <w:t>Щодо територіальної альтернативи 2</w:t>
      </w:r>
    </w:p>
    <w:p w:rsidR="00C90F7C" w:rsidRPr="00842C1A" w:rsidRDefault="00C90F7C" w:rsidP="00C90F7C">
      <w:pPr>
        <w:widowControl w:val="0"/>
        <w:autoSpaceDE w:val="0"/>
        <w:autoSpaceDN w:val="0"/>
        <w:adjustRightInd w:val="0"/>
        <w:ind w:firstLine="720"/>
        <w:contextualSpacing/>
        <w:jc w:val="both"/>
        <w:rPr>
          <w:rFonts w:ascii="Times New Roman" w:hAnsi="Times New Roman"/>
          <w:sz w:val="24"/>
          <w:szCs w:val="24"/>
        </w:rPr>
      </w:pPr>
      <w:r w:rsidRPr="00842C1A">
        <w:rPr>
          <w:rFonts w:ascii="Times New Roman" w:hAnsi="Times New Roman"/>
          <w:sz w:val="24"/>
          <w:szCs w:val="24"/>
        </w:rPr>
        <w:t xml:space="preserve">У зв’язку з тим, що територіальна альтернатива 2 не розглядається, необхідна </w:t>
      </w:r>
      <w:proofErr w:type="spellStart"/>
      <w:r w:rsidRPr="00842C1A">
        <w:rPr>
          <w:rFonts w:ascii="Times New Roman" w:hAnsi="Times New Roman"/>
          <w:sz w:val="24"/>
          <w:szCs w:val="24"/>
        </w:rPr>
        <w:t>еколого-інженерна</w:t>
      </w:r>
      <w:proofErr w:type="spellEnd"/>
      <w:r w:rsidRPr="00842C1A">
        <w:rPr>
          <w:rFonts w:ascii="Times New Roman" w:hAnsi="Times New Roman"/>
          <w:sz w:val="24"/>
          <w:szCs w:val="24"/>
        </w:rPr>
        <w:t xml:space="preserve"> підготовка і захист території не передбачається.</w:t>
      </w:r>
    </w:p>
    <w:p w:rsidR="00C90F7C" w:rsidRPr="00842C1A" w:rsidRDefault="00C90F7C" w:rsidP="00C90F7C">
      <w:pPr>
        <w:pStyle w:val="Default"/>
        <w:spacing w:before="120" w:after="120"/>
        <w:ind w:firstLine="567"/>
        <w:rPr>
          <w:b/>
          <w:color w:val="auto"/>
          <w:lang w:val="uk-UA"/>
        </w:rPr>
      </w:pPr>
      <w:r w:rsidRPr="00842C1A">
        <w:rPr>
          <w:b/>
          <w:color w:val="auto"/>
          <w:lang w:val="uk-UA"/>
        </w:rPr>
        <w:t>8. Сфера, джерела та види можливого впливу на довкілля:</w:t>
      </w:r>
    </w:p>
    <w:p w:rsidR="00C90F7C" w:rsidRPr="00842C1A" w:rsidRDefault="00C90F7C" w:rsidP="00C90F7C">
      <w:pPr>
        <w:pStyle w:val="Default"/>
        <w:spacing w:before="120" w:after="120"/>
        <w:ind w:left="992" w:hanging="992"/>
        <w:jc w:val="both"/>
        <w:rPr>
          <w:b/>
          <w:color w:val="auto"/>
          <w:lang w:val="uk-UA"/>
        </w:rPr>
      </w:pPr>
      <w:r w:rsidRPr="00842C1A">
        <w:rPr>
          <w:b/>
          <w:color w:val="auto"/>
          <w:lang w:val="uk-UA"/>
        </w:rPr>
        <w:t>Щодо технічної альтернативи 1</w:t>
      </w:r>
    </w:p>
    <w:p w:rsidR="00C90F7C" w:rsidRPr="00842C1A" w:rsidRDefault="00C90F7C" w:rsidP="00C90F7C">
      <w:pPr>
        <w:widowControl w:val="0"/>
        <w:autoSpaceDE w:val="0"/>
        <w:autoSpaceDN w:val="0"/>
        <w:adjustRightInd w:val="0"/>
        <w:spacing w:before="120" w:after="120"/>
        <w:ind w:firstLine="567"/>
        <w:jc w:val="both"/>
        <w:rPr>
          <w:rFonts w:ascii="Times New Roman" w:hAnsi="Times New Roman"/>
          <w:sz w:val="24"/>
          <w:szCs w:val="24"/>
        </w:rPr>
      </w:pPr>
      <w:r w:rsidRPr="00842C1A">
        <w:rPr>
          <w:rFonts w:ascii="Times New Roman" w:hAnsi="Times New Roman"/>
          <w:sz w:val="24"/>
          <w:szCs w:val="24"/>
        </w:rPr>
        <w:t xml:space="preserve">При підвищенні рівня  </w:t>
      </w:r>
      <w:proofErr w:type="spellStart"/>
      <w:r w:rsidRPr="00842C1A">
        <w:rPr>
          <w:rFonts w:ascii="Times New Roman" w:hAnsi="Times New Roman"/>
          <w:sz w:val="24"/>
          <w:szCs w:val="24"/>
        </w:rPr>
        <w:t>Олександрівського</w:t>
      </w:r>
      <w:proofErr w:type="spellEnd"/>
      <w:r w:rsidRPr="00842C1A">
        <w:rPr>
          <w:rFonts w:ascii="Times New Roman" w:hAnsi="Times New Roman"/>
          <w:sz w:val="24"/>
          <w:szCs w:val="24"/>
        </w:rPr>
        <w:t xml:space="preserve"> водосховища з позначки 16,0 м до позначки 16,9 м вплив на:</w:t>
      </w:r>
    </w:p>
    <w:p w:rsidR="00C90F7C" w:rsidRPr="00842C1A" w:rsidRDefault="00C90F7C" w:rsidP="00C90F7C">
      <w:pPr>
        <w:pStyle w:val="Default"/>
        <w:numPr>
          <w:ilvl w:val="0"/>
          <w:numId w:val="1"/>
        </w:numPr>
        <w:spacing w:after="27"/>
        <w:ind w:left="993" w:hanging="426"/>
        <w:jc w:val="both"/>
        <w:rPr>
          <w:color w:val="auto"/>
          <w:lang w:val="uk-UA"/>
        </w:rPr>
      </w:pPr>
      <w:r w:rsidRPr="00842C1A">
        <w:rPr>
          <w:color w:val="auto"/>
          <w:lang w:val="uk-UA"/>
        </w:rPr>
        <w:t xml:space="preserve">клімат і мікроклімат ─  не передбачається; </w:t>
      </w:r>
    </w:p>
    <w:p w:rsidR="00C90F7C" w:rsidRPr="00842C1A" w:rsidRDefault="00C90F7C" w:rsidP="00C90F7C">
      <w:pPr>
        <w:pStyle w:val="Default"/>
        <w:numPr>
          <w:ilvl w:val="0"/>
          <w:numId w:val="1"/>
        </w:numPr>
        <w:spacing w:after="27"/>
        <w:ind w:left="993" w:hanging="426"/>
        <w:jc w:val="both"/>
        <w:rPr>
          <w:color w:val="auto"/>
          <w:lang w:val="uk-UA"/>
        </w:rPr>
      </w:pPr>
      <w:r w:rsidRPr="00842C1A">
        <w:rPr>
          <w:color w:val="auto"/>
          <w:lang w:val="uk-UA"/>
        </w:rPr>
        <w:t xml:space="preserve">повітряне середовище ─ незначний від роботи будівельної техніки та автотранспорту; </w:t>
      </w:r>
    </w:p>
    <w:p w:rsidR="00C90F7C" w:rsidRPr="00842C1A" w:rsidRDefault="00C90F7C" w:rsidP="00C90F7C">
      <w:pPr>
        <w:pStyle w:val="Default"/>
        <w:numPr>
          <w:ilvl w:val="0"/>
          <w:numId w:val="1"/>
        </w:numPr>
        <w:spacing w:after="27"/>
        <w:ind w:left="993" w:hanging="426"/>
        <w:jc w:val="both"/>
        <w:rPr>
          <w:color w:val="auto"/>
          <w:lang w:val="uk-UA"/>
        </w:rPr>
      </w:pPr>
      <w:r w:rsidRPr="00842C1A">
        <w:rPr>
          <w:color w:val="auto"/>
          <w:lang w:val="uk-UA"/>
        </w:rPr>
        <w:lastRenderedPageBreak/>
        <w:t xml:space="preserve">водне середовище ─ очікується незначний при підйомі рівня </w:t>
      </w:r>
      <w:proofErr w:type="spellStart"/>
      <w:r w:rsidRPr="00842C1A">
        <w:rPr>
          <w:color w:val="auto"/>
          <w:lang w:val="uk-UA"/>
        </w:rPr>
        <w:t>Олександрівського</w:t>
      </w:r>
      <w:proofErr w:type="spellEnd"/>
      <w:r w:rsidRPr="00842C1A">
        <w:rPr>
          <w:color w:val="auto"/>
          <w:lang w:val="uk-UA"/>
        </w:rPr>
        <w:t xml:space="preserve"> водосховища до позначки 16,9 м у період паводка на р. Південний Буг. Після встановлення рівня 16,9 м очікується збільшення </w:t>
      </w:r>
      <w:proofErr w:type="spellStart"/>
      <w:r w:rsidRPr="00842C1A">
        <w:rPr>
          <w:color w:val="auto"/>
          <w:lang w:val="uk-UA"/>
        </w:rPr>
        <w:t>беззворотних</w:t>
      </w:r>
      <w:proofErr w:type="spellEnd"/>
      <w:r w:rsidRPr="00842C1A">
        <w:rPr>
          <w:color w:val="auto"/>
          <w:lang w:val="uk-UA"/>
        </w:rPr>
        <w:t xml:space="preserve"> витрат води на випаровування на 0,66 </w:t>
      </w:r>
      <w:proofErr w:type="spellStart"/>
      <w:r w:rsidRPr="00842C1A">
        <w:rPr>
          <w:color w:val="auto"/>
          <w:lang w:val="uk-UA"/>
        </w:rPr>
        <w:t>млн</w:t>
      </w:r>
      <w:proofErr w:type="spellEnd"/>
      <w:r w:rsidRPr="00842C1A">
        <w:rPr>
          <w:color w:val="auto"/>
          <w:lang w:val="uk-UA"/>
        </w:rPr>
        <w:t xml:space="preserve"> м</w:t>
      </w:r>
      <w:r w:rsidRPr="00842C1A">
        <w:rPr>
          <w:color w:val="auto"/>
          <w:vertAlign w:val="superscript"/>
          <w:lang w:val="uk-UA"/>
        </w:rPr>
        <w:t>3</w:t>
      </w:r>
      <w:r w:rsidRPr="00842C1A">
        <w:rPr>
          <w:color w:val="auto"/>
          <w:lang w:val="uk-UA"/>
        </w:rPr>
        <w:t xml:space="preserve"> в рік. Впливу на фізико-хімічні показники якості води не передбачається; </w:t>
      </w:r>
    </w:p>
    <w:p w:rsidR="00C90F7C" w:rsidRPr="00842C1A" w:rsidRDefault="00C90F7C" w:rsidP="00C90F7C">
      <w:pPr>
        <w:pStyle w:val="Default"/>
        <w:numPr>
          <w:ilvl w:val="0"/>
          <w:numId w:val="1"/>
        </w:numPr>
        <w:spacing w:after="27"/>
        <w:ind w:left="993" w:hanging="426"/>
        <w:jc w:val="both"/>
        <w:rPr>
          <w:color w:val="auto"/>
          <w:lang w:val="uk-UA"/>
        </w:rPr>
      </w:pPr>
      <w:r w:rsidRPr="00842C1A">
        <w:rPr>
          <w:color w:val="auto"/>
          <w:lang w:val="uk-UA"/>
        </w:rPr>
        <w:t>рослинний і тваринний світ, заповідні об’єкти ─ можливий незначний вплив на рослинний і тваринний світ, що потребує в</w:t>
      </w:r>
      <w:r w:rsidRPr="00842C1A">
        <w:rPr>
          <w:lang w:val="uk-UA"/>
        </w:rPr>
        <w:t xml:space="preserve">провадження реабілітаційних заходів з культивування, </w:t>
      </w:r>
      <w:proofErr w:type="spellStart"/>
      <w:r w:rsidRPr="00842C1A">
        <w:rPr>
          <w:lang w:val="uk-UA"/>
        </w:rPr>
        <w:t>реінтродукції</w:t>
      </w:r>
      <w:proofErr w:type="spellEnd"/>
      <w:r w:rsidRPr="00842C1A">
        <w:rPr>
          <w:lang w:val="uk-UA"/>
        </w:rPr>
        <w:t xml:space="preserve"> та </w:t>
      </w:r>
      <w:proofErr w:type="spellStart"/>
      <w:r w:rsidRPr="00842C1A">
        <w:rPr>
          <w:lang w:val="uk-UA"/>
        </w:rPr>
        <w:t>репатриації</w:t>
      </w:r>
      <w:proofErr w:type="spellEnd"/>
      <w:r w:rsidRPr="00842C1A">
        <w:rPr>
          <w:lang w:val="uk-UA"/>
        </w:rPr>
        <w:t xml:space="preserve"> рослин</w:t>
      </w:r>
      <w:r w:rsidRPr="00842C1A">
        <w:rPr>
          <w:color w:val="auto"/>
          <w:lang w:val="uk-UA"/>
        </w:rPr>
        <w:t xml:space="preserve">; </w:t>
      </w:r>
    </w:p>
    <w:p w:rsidR="00C90F7C" w:rsidRPr="00842C1A" w:rsidRDefault="00C90F7C" w:rsidP="00C90F7C">
      <w:pPr>
        <w:pStyle w:val="Default"/>
        <w:numPr>
          <w:ilvl w:val="0"/>
          <w:numId w:val="1"/>
        </w:numPr>
        <w:ind w:left="993" w:hanging="426"/>
        <w:jc w:val="both"/>
        <w:rPr>
          <w:color w:val="auto"/>
          <w:lang w:val="uk-UA"/>
        </w:rPr>
      </w:pPr>
      <w:r w:rsidRPr="00842C1A">
        <w:rPr>
          <w:color w:val="auto"/>
          <w:lang w:val="uk-UA"/>
        </w:rPr>
        <w:t xml:space="preserve">навколишнє техногенне середовище ─ не передбачається. Результати моніторингу </w:t>
      </w:r>
      <w:proofErr w:type="spellStart"/>
      <w:r w:rsidRPr="00842C1A">
        <w:rPr>
          <w:color w:val="auto"/>
          <w:lang w:val="uk-UA"/>
        </w:rPr>
        <w:t>Олександрівського</w:t>
      </w:r>
      <w:proofErr w:type="spellEnd"/>
      <w:r w:rsidRPr="00842C1A">
        <w:rPr>
          <w:color w:val="auto"/>
          <w:lang w:val="uk-UA"/>
        </w:rPr>
        <w:t xml:space="preserve"> водосховища та навколишнього середовища, який проводиться з 1998 року, підтверджують задовільний стан за всіма контрольованими показниками і відсутність негативного впливу, пов’язаного з експлуатацією </w:t>
      </w:r>
      <w:proofErr w:type="spellStart"/>
      <w:r w:rsidRPr="00842C1A">
        <w:rPr>
          <w:color w:val="auto"/>
          <w:lang w:val="uk-UA"/>
        </w:rPr>
        <w:t>Ташлицької</w:t>
      </w:r>
      <w:proofErr w:type="spellEnd"/>
      <w:r w:rsidRPr="00842C1A">
        <w:rPr>
          <w:color w:val="auto"/>
          <w:lang w:val="uk-UA"/>
        </w:rPr>
        <w:t xml:space="preserve"> ГАЕС, у тому числі за результатами сейсмологічного моніторингу;</w:t>
      </w:r>
    </w:p>
    <w:p w:rsidR="00C90F7C" w:rsidRPr="00842C1A" w:rsidRDefault="00C90F7C" w:rsidP="00C90F7C">
      <w:pPr>
        <w:pStyle w:val="Default"/>
        <w:numPr>
          <w:ilvl w:val="0"/>
          <w:numId w:val="1"/>
        </w:numPr>
        <w:ind w:left="993" w:hanging="426"/>
        <w:jc w:val="both"/>
        <w:rPr>
          <w:color w:val="auto"/>
          <w:lang w:val="uk-UA"/>
        </w:rPr>
      </w:pPr>
      <w:r w:rsidRPr="00842C1A">
        <w:rPr>
          <w:color w:val="auto"/>
          <w:lang w:val="uk-UA"/>
        </w:rPr>
        <w:t>археологічні дослідження виконані в повному обсязі на всій території, яка підлягає затопленню до позначки 16,9 м, об’єктів для консервації та музеєфікації не знайдено;</w:t>
      </w:r>
    </w:p>
    <w:p w:rsidR="00C90F7C" w:rsidRPr="00842C1A" w:rsidRDefault="00C90F7C" w:rsidP="00C90F7C">
      <w:pPr>
        <w:pStyle w:val="Default"/>
        <w:numPr>
          <w:ilvl w:val="0"/>
          <w:numId w:val="1"/>
        </w:numPr>
        <w:ind w:left="993" w:hanging="426"/>
        <w:jc w:val="both"/>
        <w:rPr>
          <w:color w:val="auto"/>
          <w:lang w:val="uk-UA"/>
        </w:rPr>
      </w:pPr>
      <w:r w:rsidRPr="00842C1A">
        <w:rPr>
          <w:color w:val="auto"/>
          <w:lang w:val="uk-UA"/>
        </w:rPr>
        <w:t>додаткового землевідведення не потрібно.</w:t>
      </w:r>
    </w:p>
    <w:p w:rsidR="00C90F7C" w:rsidRPr="00842C1A" w:rsidRDefault="00C90F7C" w:rsidP="00C90F7C">
      <w:pPr>
        <w:pStyle w:val="Default"/>
        <w:spacing w:before="120" w:after="120"/>
        <w:ind w:left="992" w:hanging="992"/>
        <w:jc w:val="both"/>
        <w:rPr>
          <w:b/>
          <w:color w:val="auto"/>
          <w:lang w:val="uk-UA"/>
        </w:rPr>
      </w:pPr>
      <w:r w:rsidRPr="00842C1A">
        <w:rPr>
          <w:b/>
          <w:color w:val="auto"/>
          <w:lang w:val="uk-UA"/>
        </w:rPr>
        <w:t>Щодо технічної альтернативи 2</w:t>
      </w:r>
    </w:p>
    <w:p w:rsidR="00C90F7C" w:rsidRPr="00842C1A" w:rsidRDefault="00C90F7C" w:rsidP="00C90F7C">
      <w:pPr>
        <w:widowControl w:val="0"/>
        <w:autoSpaceDE w:val="0"/>
        <w:autoSpaceDN w:val="0"/>
        <w:adjustRightInd w:val="0"/>
        <w:spacing w:before="120" w:after="120"/>
        <w:ind w:firstLine="567"/>
        <w:jc w:val="both"/>
        <w:rPr>
          <w:rFonts w:ascii="Times New Roman" w:hAnsi="Times New Roman"/>
          <w:sz w:val="24"/>
          <w:szCs w:val="24"/>
        </w:rPr>
      </w:pPr>
      <w:r w:rsidRPr="00842C1A">
        <w:rPr>
          <w:rFonts w:ascii="Times New Roman" w:hAnsi="Times New Roman"/>
          <w:sz w:val="24"/>
          <w:szCs w:val="24"/>
        </w:rPr>
        <w:t xml:space="preserve">При підвищенні рівня  </w:t>
      </w:r>
      <w:proofErr w:type="spellStart"/>
      <w:r w:rsidRPr="00842C1A">
        <w:rPr>
          <w:rFonts w:ascii="Times New Roman" w:hAnsi="Times New Roman"/>
          <w:sz w:val="24"/>
          <w:szCs w:val="24"/>
        </w:rPr>
        <w:t>Олександрівського</w:t>
      </w:r>
      <w:proofErr w:type="spellEnd"/>
      <w:r w:rsidRPr="00842C1A">
        <w:rPr>
          <w:rFonts w:ascii="Times New Roman" w:hAnsi="Times New Roman"/>
          <w:sz w:val="24"/>
          <w:szCs w:val="24"/>
        </w:rPr>
        <w:t xml:space="preserve"> водосховища з позначки 16,0 м до позначки 20,7 м вплив на:</w:t>
      </w:r>
    </w:p>
    <w:p w:rsidR="00C90F7C" w:rsidRPr="00842C1A" w:rsidRDefault="00C90F7C" w:rsidP="00C90F7C">
      <w:pPr>
        <w:pStyle w:val="Default"/>
        <w:numPr>
          <w:ilvl w:val="0"/>
          <w:numId w:val="1"/>
        </w:numPr>
        <w:spacing w:after="27"/>
        <w:ind w:left="993" w:hanging="426"/>
        <w:jc w:val="both"/>
        <w:rPr>
          <w:color w:val="auto"/>
          <w:lang w:val="uk-UA"/>
        </w:rPr>
      </w:pPr>
      <w:r w:rsidRPr="00842C1A">
        <w:rPr>
          <w:color w:val="auto"/>
          <w:lang w:val="uk-UA"/>
        </w:rPr>
        <w:t xml:space="preserve">клімат і мікроклімат ─  не передбачається; </w:t>
      </w:r>
    </w:p>
    <w:p w:rsidR="00C90F7C" w:rsidRPr="00842C1A" w:rsidRDefault="00C90F7C" w:rsidP="00C90F7C">
      <w:pPr>
        <w:pStyle w:val="Default"/>
        <w:numPr>
          <w:ilvl w:val="0"/>
          <w:numId w:val="1"/>
        </w:numPr>
        <w:spacing w:after="27"/>
        <w:ind w:left="993" w:hanging="426"/>
        <w:jc w:val="both"/>
        <w:rPr>
          <w:color w:val="auto"/>
          <w:lang w:val="uk-UA"/>
        </w:rPr>
      </w:pPr>
      <w:r w:rsidRPr="00842C1A">
        <w:rPr>
          <w:color w:val="auto"/>
          <w:lang w:val="uk-UA"/>
        </w:rPr>
        <w:t xml:space="preserve">повітряне середовище ─ незначний від роботи будівельної техніки та автотранспорту; </w:t>
      </w:r>
    </w:p>
    <w:p w:rsidR="00C90F7C" w:rsidRPr="00842C1A" w:rsidRDefault="00C90F7C" w:rsidP="00C90F7C">
      <w:pPr>
        <w:pStyle w:val="Default"/>
        <w:numPr>
          <w:ilvl w:val="0"/>
          <w:numId w:val="1"/>
        </w:numPr>
        <w:spacing w:after="27"/>
        <w:ind w:left="993" w:hanging="426"/>
        <w:jc w:val="both"/>
        <w:rPr>
          <w:color w:val="auto"/>
          <w:lang w:val="uk-UA"/>
        </w:rPr>
      </w:pPr>
      <w:r w:rsidRPr="00842C1A">
        <w:rPr>
          <w:color w:val="auto"/>
          <w:lang w:val="uk-UA"/>
        </w:rPr>
        <w:t xml:space="preserve">водне середовище ─ очікується незначний при підйомі рівня </w:t>
      </w:r>
      <w:proofErr w:type="spellStart"/>
      <w:r w:rsidRPr="00842C1A">
        <w:rPr>
          <w:color w:val="auto"/>
          <w:lang w:val="uk-UA"/>
        </w:rPr>
        <w:t>Олександрівського</w:t>
      </w:r>
      <w:proofErr w:type="spellEnd"/>
      <w:r w:rsidRPr="00842C1A">
        <w:rPr>
          <w:color w:val="auto"/>
          <w:lang w:val="uk-UA"/>
        </w:rPr>
        <w:t xml:space="preserve"> водосховища до позначки 20,7 м у період паводка на р. Південний Буг. Після встановлення рівня 20,7 м очікується збільшення </w:t>
      </w:r>
      <w:proofErr w:type="spellStart"/>
      <w:r w:rsidRPr="00842C1A">
        <w:rPr>
          <w:color w:val="auto"/>
          <w:lang w:val="uk-UA"/>
        </w:rPr>
        <w:t>беззворотних</w:t>
      </w:r>
      <w:proofErr w:type="spellEnd"/>
      <w:r w:rsidRPr="00842C1A">
        <w:rPr>
          <w:color w:val="auto"/>
          <w:lang w:val="uk-UA"/>
        </w:rPr>
        <w:t xml:space="preserve"> витрат води на випаровування. Впливу на фізико-хімічні показники якості води не передбачається; </w:t>
      </w:r>
    </w:p>
    <w:p w:rsidR="00C90F7C" w:rsidRPr="00842C1A" w:rsidRDefault="00C90F7C" w:rsidP="00C90F7C">
      <w:pPr>
        <w:pStyle w:val="Default"/>
        <w:numPr>
          <w:ilvl w:val="0"/>
          <w:numId w:val="1"/>
        </w:numPr>
        <w:spacing w:after="27"/>
        <w:ind w:left="993" w:hanging="426"/>
        <w:jc w:val="both"/>
        <w:rPr>
          <w:color w:val="auto"/>
          <w:lang w:val="uk-UA"/>
        </w:rPr>
      </w:pPr>
      <w:r w:rsidRPr="00842C1A">
        <w:rPr>
          <w:color w:val="auto"/>
          <w:lang w:val="uk-UA"/>
        </w:rPr>
        <w:t>рослинний і тваринний світ, заповідні об’єкти ─ можливий незначний вплив на рослинний і тваринний світ, що потребує в</w:t>
      </w:r>
      <w:r w:rsidRPr="00842C1A">
        <w:rPr>
          <w:lang w:val="uk-UA"/>
        </w:rPr>
        <w:t xml:space="preserve">провадження реабілітаційних заходів з культивування, </w:t>
      </w:r>
      <w:proofErr w:type="spellStart"/>
      <w:r w:rsidRPr="00842C1A">
        <w:rPr>
          <w:lang w:val="uk-UA"/>
        </w:rPr>
        <w:t>реінтродукції</w:t>
      </w:r>
      <w:proofErr w:type="spellEnd"/>
      <w:r w:rsidRPr="00842C1A">
        <w:rPr>
          <w:lang w:val="uk-UA"/>
        </w:rPr>
        <w:t xml:space="preserve"> та </w:t>
      </w:r>
      <w:proofErr w:type="spellStart"/>
      <w:r w:rsidRPr="00842C1A">
        <w:rPr>
          <w:lang w:val="uk-UA"/>
        </w:rPr>
        <w:t>репатриації</w:t>
      </w:r>
      <w:proofErr w:type="spellEnd"/>
      <w:r w:rsidRPr="00842C1A">
        <w:rPr>
          <w:lang w:val="uk-UA"/>
        </w:rPr>
        <w:t xml:space="preserve"> рослин</w:t>
      </w:r>
      <w:r w:rsidRPr="00842C1A">
        <w:rPr>
          <w:color w:val="auto"/>
          <w:lang w:val="uk-UA"/>
        </w:rPr>
        <w:t xml:space="preserve">; </w:t>
      </w:r>
    </w:p>
    <w:p w:rsidR="00C90F7C" w:rsidRPr="00842C1A" w:rsidRDefault="00C90F7C" w:rsidP="00C90F7C">
      <w:pPr>
        <w:pStyle w:val="Default"/>
        <w:numPr>
          <w:ilvl w:val="0"/>
          <w:numId w:val="1"/>
        </w:numPr>
        <w:ind w:left="993" w:hanging="426"/>
        <w:jc w:val="both"/>
        <w:rPr>
          <w:color w:val="auto"/>
          <w:lang w:val="uk-UA"/>
        </w:rPr>
      </w:pPr>
      <w:r w:rsidRPr="00842C1A">
        <w:rPr>
          <w:color w:val="auto"/>
          <w:lang w:val="uk-UA"/>
        </w:rPr>
        <w:t xml:space="preserve">навколишнє техногенне середовище ─ не передбачається. Результати моніторингу </w:t>
      </w:r>
      <w:proofErr w:type="spellStart"/>
      <w:r w:rsidRPr="00842C1A">
        <w:rPr>
          <w:color w:val="auto"/>
          <w:lang w:val="uk-UA"/>
        </w:rPr>
        <w:t>Олександрівського</w:t>
      </w:r>
      <w:proofErr w:type="spellEnd"/>
      <w:r w:rsidRPr="00842C1A">
        <w:rPr>
          <w:color w:val="auto"/>
          <w:lang w:val="uk-UA"/>
        </w:rPr>
        <w:t xml:space="preserve"> водосховища та навколишнього середовища, який проводиться з 1998 року, підтверджують задовільний стан за всіма контрольованими показниками і відсутність негативного впливу, пов’язаного з експлуатацією </w:t>
      </w:r>
      <w:proofErr w:type="spellStart"/>
      <w:r w:rsidRPr="00842C1A">
        <w:rPr>
          <w:color w:val="auto"/>
          <w:lang w:val="uk-UA"/>
        </w:rPr>
        <w:t>Ташлицької</w:t>
      </w:r>
      <w:proofErr w:type="spellEnd"/>
      <w:r w:rsidRPr="00842C1A">
        <w:rPr>
          <w:color w:val="auto"/>
          <w:lang w:val="uk-UA"/>
        </w:rPr>
        <w:t xml:space="preserve"> ГАЕС, у тому числі за результатами сейсмологічного моніторингу;</w:t>
      </w:r>
    </w:p>
    <w:p w:rsidR="00C90F7C" w:rsidRPr="00842C1A" w:rsidRDefault="00C90F7C" w:rsidP="00C90F7C">
      <w:pPr>
        <w:pStyle w:val="Default"/>
        <w:numPr>
          <w:ilvl w:val="0"/>
          <w:numId w:val="1"/>
        </w:numPr>
        <w:ind w:left="993" w:hanging="426"/>
        <w:jc w:val="both"/>
        <w:rPr>
          <w:color w:val="auto"/>
          <w:lang w:val="uk-UA"/>
        </w:rPr>
      </w:pPr>
      <w:r w:rsidRPr="00842C1A">
        <w:rPr>
          <w:color w:val="auto"/>
          <w:lang w:val="uk-UA"/>
        </w:rPr>
        <w:t>археологічні дослідження виконані в повному обсязі на всій території, яка підлягає затопленню до позначки 20,7 м, об’єктів для консервації та музеєфікації не знайдено;</w:t>
      </w:r>
    </w:p>
    <w:p w:rsidR="00C90F7C" w:rsidRPr="00842C1A" w:rsidRDefault="00C90F7C" w:rsidP="00C90F7C">
      <w:pPr>
        <w:pStyle w:val="Default"/>
        <w:numPr>
          <w:ilvl w:val="0"/>
          <w:numId w:val="1"/>
        </w:numPr>
        <w:ind w:left="993" w:hanging="426"/>
        <w:jc w:val="both"/>
        <w:rPr>
          <w:color w:val="auto"/>
          <w:lang w:val="uk-UA"/>
        </w:rPr>
      </w:pPr>
      <w:r w:rsidRPr="00842C1A">
        <w:rPr>
          <w:color w:val="auto"/>
          <w:lang w:val="uk-UA"/>
        </w:rPr>
        <w:t>потрібно додаткове землевідведення.</w:t>
      </w:r>
    </w:p>
    <w:p w:rsidR="00C90F7C" w:rsidRPr="00842C1A" w:rsidRDefault="00C90F7C" w:rsidP="00C90F7C">
      <w:pPr>
        <w:pStyle w:val="Default"/>
        <w:spacing w:before="120" w:after="120"/>
        <w:jc w:val="both"/>
        <w:rPr>
          <w:b/>
          <w:color w:val="auto"/>
          <w:lang w:val="uk-UA"/>
        </w:rPr>
      </w:pPr>
      <w:r w:rsidRPr="00842C1A">
        <w:rPr>
          <w:color w:val="auto"/>
          <w:lang w:val="uk-UA"/>
        </w:rPr>
        <w:t xml:space="preserve"> </w:t>
      </w:r>
      <w:r w:rsidRPr="00842C1A">
        <w:rPr>
          <w:b/>
          <w:color w:val="auto"/>
          <w:lang w:val="uk-UA"/>
        </w:rPr>
        <w:t>Щодо територіальної альтернативи 1</w:t>
      </w:r>
    </w:p>
    <w:p w:rsidR="00C90F7C" w:rsidRPr="00842C1A" w:rsidRDefault="00C90F7C" w:rsidP="00C90F7C">
      <w:pPr>
        <w:ind w:right="37" w:firstLine="567"/>
        <w:jc w:val="both"/>
      </w:pPr>
      <w:r w:rsidRPr="00842C1A">
        <w:rPr>
          <w:rFonts w:ascii="Times New Roman" w:hAnsi="Times New Roman"/>
          <w:sz w:val="24"/>
          <w:szCs w:val="24"/>
        </w:rPr>
        <w:t>Дотримання визначених зон підтоплення</w:t>
      </w:r>
      <w:r w:rsidRPr="00842C1A">
        <w:t>.</w:t>
      </w:r>
    </w:p>
    <w:p w:rsidR="00C90F7C" w:rsidRPr="00842C1A" w:rsidRDefault="00C90F7C" w:rsidP="00C90F7C">
      <w:pPr>
        <w:pStyle w:val="Default"/>
        <w:spacing w:before="120" w:after="120"/>
        <w:jc w:val="both"/>
        <w:rPr>
          <w:b/>
          <w:color w:val="auto"/>
          <w:lang w:val="uk-UA"/>
        </w:rPr>
      </w:pPr>
      <w:r w:rsidRPr="00842C1A">
        <w:rPr>
          <w:b/>
          <w:color w:val="auto"/>
          <w:lang w:val="uk-UA"/>
        </w:rPr>
        <w:t>Щодо територіальної альтернативи 2</w:t>
      </w:r>
    </w:p>
    <w:p w:rsidR="00C90F7C" w:rsidRPr="00842C1A" w:rsidRDefault="00C90F7C" w:rsidP="00C90F7C">
      <w:pPr>
        <w:pStyle w:val="Default"/>
        <w:spacing w:before="120" w:after="120"/>
        <w:ind w:firstLine="567"/>
        <w:jc w:val="both"/>
        <w:rPr>
          <w:color w:val="auto"/>
          <w:lang w:val="uk-UA"/>
        </w:rPr>
      </w:pPr>
      <w:r w:rsidRPr="00842C1A">
        <w:rPr>
          <w:color w:val="auto"/>
          <w:lang w:val="uk-UA"/>
        </w:rPr>
        <w:t>У зв’язку з тим, що територіальна альтернатива 2 відсутня, сфера, джерела та види можливого впливу на довкілля</w:t>
      </w:r>
      <w:r w:rsidRPr="00842C1A" w:rsidDel="00571853">
        <w:rPr>
          <w:color w:val="auto"/>
          <w:lang w:val="uk-UA"/>
        </w:rPr>
        <w:t xml:space="preserve"> </w:t>
      </w:r>
      <w:r w:rsidRPr="00842C1A">
        <w:rPr>
          <w:color w:val="auto"/>
          <w:lang w:val="uk-UA"/>
        </w:rPr>
        <w:t xml:space="preserve">не розглядається.  </w:t>
      </w:r>
    </w:p>
    <w:p w:rsidR="00C90F7C" w:rsidRPr="00842C1A" w:rsidRDefault="00C90F7C" w:rsidP="00C90F7C">
      <w:pPr>
        <w:pStyle w:val="Default"/>
        <w:spacing w:before="120" w:after="120"/>
        <w:ind w:firstLine="567"/>
        <w:jc w:val="both"/>
        <w:rPr>
          <w:b/>
          <w:color w:val="auto"/>
          <w:lang w:val="uk-UA"/>
        </w:rPr>
      </w:pPr>
      <w:r w:rsidRPr="00842C1A">
        <w:rPr>
          <w:b/>
          <w:color w:val="auto"/>
          <w:lang w:val="uk-UA"/>
        </w:rPr>
        <w:t xml:space="preserve">9. Належність планованої діяльності до першої чи другої категорії видів діяльності та об’єктів, які можуть мати значний вплив на довкілля та підлягають </w:t>
      </w:r>
      <w:r w:rsidRPr="00842C1A">
        <w:rPr>
          <w:b/>
          <w:color w:val="auto"/>
          <w:lang w:val="uk-UA"/>
        </w:rPr>
        <w:lastRenderedPageBreak/>
        <w:t>оцінці впливу на довкілля (зазначити відповідний пункт і частину статті 3 Закону України “Про оцінку впливу на довкілля”)</w:t>
      </w:r>
    </w:p>
    <w:p w:rsidR="00C90F7C" w:rsidRPr="00842C1A" w:rsidRDefault="00C90F7C" w:rsidP="00C90F7C">
      <w:pPr>
        <w:widowControl w:val="0"/>
        <w:autoSpaceDE w:val="0"/>
        <w:autoSpaceDN w:val="0"/>
        <w:adjustRightInd w:val="0"/>
        <w:spacing w:before="120"/>
        <w:ind w:firstLine="567"/>
        <w:jc w:val="both"/>
        <w:rPr>
          <w:rFonts w:ascii="Times New Roman" w:hAnsi="Times New Roman"/>
          <w:sz w:val="24"/>
          <w:szCs w:val="24"/>
        </w:rPr>
      </w:pPr>
      <w:r w:rsidRPr="00842C1A">
        <w:rPr>
          <w:rFonts w:ascii="Times New Roman" w:hAnsi="Times New Roman"/>
          <w:sz w:val="24"/>
          <w:szCs w:val="24"/>
        </w:rPr>
        <w:t>Діяльність належить до другої категорії видів діяльності та об’єктів, які можуть мати значний вплив на довкілля та підлягають оцінці впливу на довкілля (частина 5 пункту 3 статті 3 Закону України «Про оцінку впливу на довкілля»).</w:t>
      </w:r>
      <w:r w:rsidRPr="00842C1A">
        <w:rPr>
          <w:sz w:val="23"/>
          <w:szCs w:val="23"/>
        </w:rPr>
        <w:t xml:space="preserve"> </w:t>
      </w:r>
    </w:p>
    <w:p w:rsidR="00C90F7C" w:rsidRPr="00842C1A" w:rsidRDefault="00C90F7C" w:rsidP="00C90F7C">
      <w:pPr>
        <w:pStyle w:val="Default"/>
        <w:spacing w:before="120"/>
        <w:ind w:firstLine="567"/>
        <w:jc w:val="both"/>
        <w:rPr>
          <w:b/>
          <w:color w:val="auto"/>
          <w:lang w:val="uk-UA"/>
        </w:rPr>
      </w:pPr>
      <w:r w:rsidRPr="00842C1A">
        <w:rPr>
          <w:b/>
          <w:color w:val="auto"/>
          <w:lang w:val="uk-UA"/>
        </w:rPr>
        <w:t>10. Наявність підстав для здійснення оцінки транскордонного впливу на довкілля (в тому числі наявність значного негативного транскордонного впливу на довкілля та перелік держав, довкілля яких може зазнати значного негативного транскордонного впливу (зачеплених держав)</w:t>
      </w:r>
    </w:p>
    <w:p w:rsidR="00C90F7C" w:rsidRPr="00842C1A" w:rsidRDefault="00C90F7C" w:rsidP="00C90F7C">
      <w:pPr>
        <w:widowControl w:val="0"/>
        <w:autoSpaceDE w:val="0"/>
        <w:autoSpaceDN w:val="0"/>
        <w:adjustRightInd w:val="0"/>
        <w:spacing w:before="120" w:after="120"/>
        <w:ind w:firstLine="567"/>
        <w:contextualSpacing/>
        <w:jc w:val="both"/>
        <w:rPr>
          <w:rFonts w:ascii="Times New Roman" w:hAnsi="Times New Roman"/>
          <w:sz w:val="24"/>
          <w:szCs w:val="24"/>
        </w:rPr>
      </w:pPr>
      <w:r w:rsidRPr="00842C1A">
        <w:rPr>
          <w:rFonts w:ascii="Times New Roman" w:hAnsi="Times New Roman"/>
          <w:sz w:val="24"/>
          <w:szCs w:val="24"/>
        </w:rPr>
        <w:t xml:space="preserve">Підстави для здійснення оцінки транскордонного впливу на довкілля відсутні. Вплив </w:t>
      </w:r>
      <w:proofErr w:type="spellStart"/>
      <w:r w:rsidRPr="00842C1A">
        <w:rPr>
          <w:rFonts w:ascii="Times New Roman" w:hAnsi="Times New Roman"/>
          <w:sz w:val="24"/>
          <w:szCs w:val="24"/>
        </w:rPr>
        <w:t>Ташлицької</w:t>
      </w:r>
      <w:proofErr w:type="spellEnd"/>
      <w:r w:rsidRPr="00842C1A">
        <w:rPr>
          <w:rFonts w:ascii="Times New Roman" w:hAnsi="Times New Roman"/>
          <w:sz w:val="24"/>
          <w:szCs w:val="24"/>
        </w:rPr>
        <w:t xml:space="preserve"> ГАЕС на довкілля обмежується прилеглою територією  Миколаївської області. </w:t>
      </w:r>
    </w:p>
    <w:p w:rsidR="00C90F7C" w:rsidRPr="00842C1A" w:rsidRDefault="00C90F7C" w:rsidP="00C90F7C">
      <w:pPr>
        <w:pStyle w:val="Default"/>
        <w:spacing w:before="120"/>
        <w:ind w:firstLine="567"/>
        <w:jc w:val="both"/>
        <w:rPr>
          <w:b/>
          <w:color w:val="auto"/>
          <w:lang w:val="uk-UA"/>
        </w:rPr>
      </w:pPr>
      <w:r w:rsidRPr="00842C1A">
        <w:rPr>
          <w:b/>
          <w:color w:val="auto"/>
          <w:lang w:val="uk-UA"/>
        </w:rPr>
        <w:t>11. Планований обсяг досліджень та рівень деталізації інформації, що підлягає включенню до звіту з оцінки впливу на довкілля</w:t>
      </w:r>
    </w:p>
    <w:p w:rsidR="00C90F7C" w:rsidRPr="00842C1A" w:rsidRDefault="00C90F7C" w:rsidP="00C90F7C">
      <w:pPr>
        <w:pStyle w:val="Default"/>
        <w:spacing w:before="120" w:after="120"/>
        <w:ind w:firstLine="567"/>
        <w:jc w:val="both"/>
        <w:rPr>
          <w:u w:color="000000"/>
          <w:lang w:val="uk-UA"/>
        </w:rPr>
      </w:pPr>
      <w:r w:rsidRPr="00842C1A">
        <w:rPr>
          <w:u w:color="000000"/>
          <w:lang w:val="uk-UA"/>
        </w:rPr>
        <w:t>Планований обсяг досліджень та рівень деталізації інформації, що підлягає</w:t>
      </w:r>
      <w:r w:rsidRPr="00842C1A">
        <w:rPr>
          <w:lang w:val="uk-UA"/>
        </w:rPr>
        <w:t xml:space="preserve"> </w:t>
      </w:r>
      <w:r w:rsidRPr="00842C1A">
        <w:rPr>
          <w:u w:color="000000"/>
          <w:lang w:val="uk-UA"/>
        </w:rPr>
        <w:t>включенню до звіту з ОВД у відповідності з ст.6 Закону України «Про оцінку впливу</w:t>
      </w:r>
      <w:r w:rsidRPr="00842C1A">
        <w:rPr>
          <w:lang w:val="uk-UA"/>
        </w:rPr>
        <w:t xml:space="preserve"> </w:t>
      </w:r>
      <w:r w:rsidRPr="00842C1A">
        <w:rPr>
          <w:u w:color="000000"/>
          <w:lang w:val="uk-UA"/>
        </w:rPr>
        <w:t>на довкілля» № 2059-VIII від 23 травня 2017 року.</w:t>
      </w:r>
    </w:p>
    <w:p w:rsidR="00C90F7C" w:rsidRPr="00842C1A" w:rsidRDefault="00C90F7C" w:rsidP="00C90F7C">
      <w:pPr>
        <w:pStyle w:val="Default"/>
        <w:spacing w:before="120" w:after="120"/>
        <w:ind w:firstLine="567"/>
        <w:jc w:val="both"/>
        <w:rPr>
          <w:b/>
          <w:color w:val="auto"/>
          <w:lang w:val="uk-UA"/>
        </w:rPr>
      </w:pPr>
      <w:r w:rsidRPr="00842C1A">
        <w:rPr>
          <w:b/>
          <w:color w:val="auto"/>
          <w:lang w:val="uk-UA"/>
        </w:rPr>
        <w:t>12. Процедура оцінки впливу на довкілля та можливості для участі в ній громадськості</w:t>
      </w:r>
    </w:p>
    <w:p w:rsidR="00C90F7C" w:rsidRPr="00842C1A" w:rsidRDefault="00C90F7C" w:rsidP="00C90F7C">
      <w:pPr>
        <w:ind w:right="42" w:firstLine="566"/>
        <w:jc w:val="both"/>
      </w:pPr>
      <w:r w:rsidRPr="00842C1A">
        <w:rPr>
          <w:rFonts w:ascii="Times New Roman" w:hAnsi="Times New Roman"/>
          <w:sz w:val="24"/>
        </w:rPr>
        <w:t xml:space="preserve">Планована суб’єктом господарювання діяльність може мати значний вплив на довкілля і, отже, підлягає оцінці впливу на довкілля відповідно до Закону України «Про оцінку впливу на довкілля». Оцінка впливу на довкілля - це процедура, що передбачає: </w:t>
      </w:r>
    </w:p>
    <w:p w:rsidR="00C90F7C" w:rsidRPr="00842C1A" w:rsidRDefault="00C90F7C" w:rsidP="00C90F7C">
      <w:pPr>
        <w:pStyle w:val="a5"/>
        <w:ind w:left="0" w:right="42" w:firstLine="567"/>
        <w:jc w:val="both"/>
        <w:rPr>
          <w:lang w:val="uk-UA"/>
        </w:rPr>
      </w:pPr>
      <w:r w:rsidRPr="00842C1A">
        <w:rPr>
          <w:rFonts w:ascii="Times New Roman" w:hAnsi="Times New Roman"/>
          <w:lang w:val="uk-UA"/>
        </w:rPr>
        <w:t xml:space="preserve">підготовку суб’єктом господарювання звіту з оцінки впливу на довкілля; </w:t>
      </w:r>
    </w:p>
    <w:p w:rsidR="00C90F7C" w:rsidRPr="00842C1A" w:rsidRDefault="00C90F7C" w:rsidP="00C90F7C">
      <w:pPr>
        <w:pStyle w:val="a5"/>
        <w:ind w:left="0" w:right="42" w:firstLine="567"/>
        <w:jc w:val="both"/>
        <w:rPr>
          <w:lang w:val="uk-UA"/>
        </w:rPr>
      </w:pPr>
      <w:r w:rsidRPr="00842C1A">
        <w:rPr>
          <w:rFonts w:ascii="Times New Roman" w:hAnsi="Times New Roman"/>
          <w:lang w:val="uk-UA"/>
        </w:rPr>
        <w:t xml:space="preserve">проведення громадського обговорення планованої діяльності; </w:t>
      </w:r>
    </w:p>
    <w:p w:rsidR="00C90F7C" w:rsidRPr="00842C1A" w:rsidRDefault="00C90F7C" w:rsidP="00C90F7C">
      <w:pPr>
        <w:pStyle w:val="a5"/>
        <w:ind w:left="0" w:right="42" w:firstLine="567"/>
        <w:jc w:val="both"/>
        <w:rPr>
          <w:lang w:val="uk-UA"/>
        </w:rPr>
      </w:pPr>
      <w:r w:rsidRPr="00842C1A">
        <w:rPr>
          <w:rFonts w:ascii="Times New Roman" w:hAnsi="Times New Roman"/>
          <w:lang w:val="uk-UA"/>
        </w:rPr>
        <w:t>аналіз уповноваженим органом звіту з оцінки впливу на довкілля, будь-якої додаткової інформації, яку надає суб’єкт господарювання, а також інформації, отриманої від громадськості під час громадського обговорення, під час здійснення процедури оцінки транскордонного впливу, іншої інформації;</w:t>
      </w:r>
    </w:p>
    <w:p w:rsidR="00C90F7C" w:rsidRPr="00842C1A" w:rsidRDefault="00C90F7C" w:rsidP="00C90F7C">
      <w:pPr>
        <w:pStyle w:val="a5"/>
        <w:ind w:left="0" w:right="42" w:firstLine="567"/>
        <w:jc w:val="both"/>
        <w:rPr>
          <w:lang w:val="uk-UA"/>
        </w:rPr>
      </w:pPr>
      <w:r w:rsidRPr="00842C1A">
        <w:rPr>
          <w:rFonts w:ascii="Times New Roman" w:hAnsi="Times New Roman"/>
          <w:lang w:val="uk-UA"/>
        </w:rPr>
        <w:t xml:space="preserve">надання уповноваженим органом мотивованого висновку з оцінки впливу на довкілля, що враховує результати аналізу, передбаченого абзацом п’ятим цього пункту; </w:t>
      </w:r>
    </w:p>
    <w:p w:rsidR="00C90F7C" w:rsidRPr="00842C1A" w:rsidRDefault="00C90F7C" w:rsidP="00C90F7C">
      <w:pPr>
        <w:pStyle w:val="a5"/>
        <w:ind w:left="0" w:right="42" w:firstLine="567"/>
        <w:jc w:val="both"/>
        <w:rPr>
          <w:lang w:val="uk-UA"/>
        </w:rPr>
      </w:pPr>
      <w:r w:rsidRPr="00842C1A">
        <w:rPr>
          <w:rFonts w:ascii="Times New Roman" w:hAnsi="Times New Roman"/>
          <w:lang w:val="uk-UA"/>
        </w:rPr>
        <w:t xml:space="preserve">врахування висновку з оцінки впливу на довкілля у рішенні про провадження планованої діяльності, зазначеного у пункті 14 цього повідомлення. </w:t>
      </w:r>
    </w:p>
    <w:p w:rsidR="00C90F7C" w:rsidRPr="00842C1A" w:rsidRDefault="00C90F7C" w:rsidP="00C90F7C">
      <w:pPr>
        <w:ind w:right="42" w:firstLine="566"/>
        <w:jc w:val="both"/>
      </w:pPr>
      <w:r w:rsidRPr="00842C1A">
        <w:rPr>
          <w:rFonts w:ascii="Times New Roman" w:hAnsi="Times New Roman"/>
          <w:sz w:val="24"/>
        </w:rPr>
        <w:t xml:space="preserve">У висновку з оцінки впливу на довкілля уповноважений орган, виходячи з оцінки впливу на довкілля планованої діяльності, визначає допустимість чи обґрунтовує недопустимість провадження планованої діяльності та визначає екологічні умови її провадження. </w:t>
      </w:r>
    </w:p>
    <w:p w:rsidR="00C90F7C" w:rsidRPr="00842C1A" w:rsidRDefault="00C90F7C" w:rsidP="00C90F7C">
      <w:pPr>
        <w:ind w:right="42" w:firstLine="566"/>
        <w:jc w:val="both"/>
      </w:pPr>
      <w:r w:rsidRPr="00842C1A">
        <w:rPr>
          <w:rFonts w:ascii="Times New Roman" w:hAnsi="Times New Roman"/>
          <w:sz w:val="24"/>
        </w:rPr>
        <w:t>Забороняється розпочинати провадження планованої діяльності без оцінки впливу на довкілля та отримання рішення про провадження планованої діяльності.</w:t>
      </w:r>
    </w:p>
    <w:p w:rsidR="00C90F7C" w:rsidRPr="00842C1A" w:rsidRDefault="00C90F7C" w:rsidP="00C90F7C">
      <w:pPr>
        <w:ind w:right="42" w:firstLine="566"/>
        <w:jc w:val="both"/>
      </w:pPr>
      <w:r w:rsidRPr="00842C1A">
        <w:rPr>
          <w:rFonts w:ascii="Times New Roman" w:hAnsi="Times New Roman"/>
          <w:sz w:val="24"/>
        </w:rPr>
        <w:t xml:space="preserve">Процедура оцінки впливу на довкілля передбачає право і можливості громадськості для участі у такій процедурі, зокрема на стадії обговорення обсягу досліджень та рівня деталізації інформації, що підлягає включенню до звіту з оцінки впливу на довкілля, а також на стадії розгляду уповноваженим органом поданого суб’єктом господарювання звіту з оцінки впливу на довкілля. </w:t>
      </w:r>
    </w:p>
    <w:p w:rsidR="00C90F7C" w:rsidRPr="00842C1A" w:rsidRDefault="00C90F7C" w:rsidP="00C90F7C">
      <w:pPr>
        <w:ind w:right="42" w:firstLine="566"/>
        <w:jc w:val="both"/>
        <w:rPr>
          <w:rFonts w:ascii="Times New Roman" w:hAnsi="Times New Roman"/>
          <w:sz w:val="24"/>
        </w:rPr>
      </w:pPr>
      <w:r w:rsidRPr="00842C1A">
        <w:rPr>
          <w:rFonts w:ascii="Times New Roman" w:hAnsi="Times New Roman"/>
          <w:sz w:val="24"/>
        </w:rPr>
        <w:t xml:space="preserve">На стадії громадського обговорення звіту з оцінки впливу на довкілля протягом щонайменше 25 робочих днів громадськості надається можливість надавати будь-які зауваження і пропозиції до звіту з оцінки впливу на довкілля та планованої діяльності, </w:t>
      </w:r>
      <w:r>
        <w:rPr>
          <w:rFonts w:ascii="Times New Roman" w:hAnsi="Times New Roman"/>
          <w:sz w:val="24"/>
        </w:rPr>
        <w:t xml:space="preserve"> </w:t>
      </w:r>
      <w:r w:rsidRPr="00842C1A">
        <w:rPr>
          <w:rFonts w:ascii="Times New Roman" w:hAnsi="Times New Roman"/>
          <w:sz w:val="24"/>
        </w:rPr>
        <w:t xml:space="preserve">а також взяти участь у громадських слуханнях. </w:t>
      </w:r>
      <w:r>
        <w:rPr>
          <w:rFonts w:ascii="Times New Roman" w:hAnsi="Times New Roman"/>
          <w:sz w:val="24"/>
        </w:rPr>
        <w:t xml:space="preserve">  </w:t>
      </w:r>
      <w:r w:rsidRPr="00842C1A">
        <w:rPr>
          <w:rFonts w:ascii="Times New Roman" w:hAnsi="Times New Roman"/>
          <w:sz w:val="24"/>
        </w:rPr>
        <w:t xml:space="preserve">Детальніше про процедуру </w:t>
      </w:r>
      <w:r w:rsidRPr="00842C1A">
        <w:rPr>
          <w:rFonts w:ascii="Times New Roman" w:hAnsi="Times New Roman"/>
          <w:sz w:val="24"/>
        </w:rPr>
        <w:lastRenderedPageBreak/>
        <w:t xml:space="preserve">громадського обговорення звіту з оцінки впливу на довкілля буде повідомлено в оголошенні про початок громадського обговорення. </w:t>
      </w:r>
    </w:p>
    <w:p w:rsidR="00C90F7C" w:rsidRPr="00842C1A" w:rsidRDefault="00C90F7C" w:rsidP="00C90F7C">
      <w:pPr>
        <w:pStyle w:val="Default"/>
        <w:ind w:firstLine="567"/>
        <w:jc w:val="both"/>
        <w:rPr>
          <w:color w:val="auto"/>
          <w:lang w:val="uk-UA"/>
        </w:rPr>
      </w:pPr>
      <w:r w:rsidRPr="00842C1A">
        <w:rPr>
          <w:lang w:val="uk-UA"/>
        </w:rPr>
        <w:t xml:space="preserve">Тимчасово, на період дії та в межах території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842C1A">
        <w:rPr>
          <w:lang w:val="uk-UA"/>
        </w:rPr>
        <w:t>коронавірусом</w:t>
      </w:r>
      <w:proofErr w:type="spellEnd"/>
      <w:r w:rsidRPr="00842C1A">
        <w:rPr>
          <w:lang w:val="uk-UA"/>
        </w:rPr>
        <w:t xml:space="preserve"> SARS-CoV-2, до повного його скасування та протягом 30 днів з дня скасування карантину, громадські слухання не проводяться і не призначаються на дати, що припадають на цей період, про що зазначається в оголошенні про початок громадського обговорення звіту з оцінки впливу на довкілля.</w:t>
      </w:r>
    </w:p>
    <w:p w:rsidR="00C90F7C" w:rsidRPr="00842C1A" w:rsidRDefault="00C90F7C" w:rsidP="00C90F7C">
      <w:pPr>
        <w:pStyle w:val="Default"/>
        <w:spacing w:before="120" w:after="120"/>
        <w:ind w:firstLine="567"/>
        <w:jc w:val="both"/>
        <w:rPr>
          <w:b/>
          <w:color w:val="auto"/>
          <w:lang w:val="uk-UA"/>
        </w:rPr>
      </w:pPr>
      <w:r w:rsidRPr="00842C1A">
        <w:rPr>
          <w:b/>
          <w:color w:val="auto"/>
          <w:lang w:val="uk-UA"/>
        </w:rPr>
        <w:t>13. Громадське обговорення обсягу досліджень та рівня деталізації інформації, що підлягає включенню до звіту з оцінки впливу на довкілля</w:t>
      </w:r>
    </w:p>
    <w:p w:rsidR="00C90F7C" w:rsidRPr="00842C1A" w:rsidRDefault="00C90F7C" w:rsidP="00C90F7C">
      <w:pPr>
        <w:pStyle w:val="Default"/>
        <w:ind w:firstLine="567"/>
        <w:jc w:val="both"/>
        <w:rPr>
          <w:color w:val="auto"/>
          <w:lang w:val="uk-UA"/>
        </w:rPr>
      </w:pPr>
      <w:r w:rsidRPr="00842C1A">
        <w:rPr>
          <w:color w:val="auto"/>
          <w:lang w:val="uk-UA"/>
        </w:rPr>
        <w:t xml:space="preserve">Протягом 20 робочих днів з дня оприлюднення цього повідомлення на офіційному веб-сайті уповноваженого органу громадськість має право надати уповноваженому органу, зазначеному у пункті 15 цього повідомлення,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w:t>
      </w:r>
    </w:p>
    <w:p w:rsidR="00C90F7C" w:rsidRPr="00842C1A" w:rsidRDefault="00C90F7C" w:rsidP="00C90F7C">
      <w:pPr>
        <w:pStyle w:val="Default"/>
        <w:ind w:firstLine="567"/>
        <w:jc w:val="both"/>
        <w:rPr>
          <w:color w:val="auto"/>
          <w:lang w:val="uk-UA"/>
        </w:rPr>
      </w:pPr>
      <w:r w:rsidRPr="00842C1A">
        <w:rPr>
          <w:color w:val="auto"/>
          <w:lang w:val="uk-UA"/>
        </w:rPr>
        <w:t xml:space="preserve">Надаючи такі зауваженні і пропозиції, вкажіть реєстраційний номер справи про оцінку впливу на довкілля планованої діяльності в Єдиному реєстрі з оцінки впливу на довкілля (зазначений на першій сторінці цього повідомлення). Це значно спростить процес реєстрації та розгляду Ваших зауважень і пропозицій. </w:t>
      </w:r>
    </w:p>
    <w:p w:rsidR="00C90F7C" w:rsidRPr="00842C1A" w:rsidRDefault="00C90F7C" w:rsidP="00C90F7C">
      <w:pPr>
        <w:pStyle w:val="Default"/>
        <w:ind w:firstLine="567"/>
        <w:jc w:val="both"/>
        <w:rPr>
          <w:color w:val="auto"/>
          <w:lang w:val="uk-UA"/>
        </w:rPr>
      </w:pPr>
      <w:r w:rsidRPr="00842C1A">
        <w:rPr>
          <w:color w:val="auto"/>
          <w:lang w:val="uk-UA"/>
        </w:rPr>
        <w:t xml:space="preserve">У разі отримання таких зауважень і пропозицій громадськості вони будуть розміщені в Єдиному реєстрі з оцінки впливу на довкілля та передані суб’єкту господарювання (протягом трьох робочих днів з дня їх отримання). Особи, що надають зауваження і пропозиції, своїм підписом засвідчують свою згоду на обробку їх персональних даних. Суб’єкт господарювання під час підготовки звіту з оцінки впливу на довкілля зобов’язаний врахувати повністю, врахувати частково або обґрунтовано відхилити зауваження і пропозиції громадськості, надані у процесі громадського обговорення обсягу досліджень та рівня деталізації інформації, що підлягає включенню до звіту з оцінки впливу на довкілля. Детальна інформація про це включається до звіту з оцінки впливу на довкілля. </w:t>
      </w:r>
    </w:p>
    <w:p w:rsidR="00C90F7C" w:rsidRPr="00842C1A" w:rsidRDefault="00C90F7C" w:rsidP="00C90F7C">
      <w:pPr>
        <w:pStyle w:val="Default"/>
        <w:spacing w:before="120" w:after="120"/>
        <w:ind w:firstLine="567"/>
        <w:jc w:val="both"/>
        <w:rPr>
          <w:b/>
          <w:color w:val="auto"/>
          <w:lang w:val="uk-UA"/>
        </w:rPr>
      </w:pPr>
      <w:r w:rsidRPr="00842C1A">
        <w:rPr>
          <w:b/>
          <w:color w:val="auto"/>
          <w:lang w:val="uk-UA"/>
        </w:rPr>
        <w:t xml:space="preserve">14. Рішення про провадження планованої діяльності </w:t>
      </w:r>
    </w:p>
    <w:p w:rsidR="00C90F7C" w:rsidRPr="00842C1A" w:rsidRDefault="00C90F7C" w:rsidP="00C90F7C">
      <w:pPr>
        <w:pBdr>
          <w:bottom w:val="single" w:sz="4" w:space="1" w:color="auto"/>
        </w:pBdr>
        <w:spacing w:line="254" w:lineRule="auto"/>
        <w:ind w:firstLine="567"/>
        <w:jc w:val="both"/>
        <w:rPr>
          <w:rFonts w:ascii="Times New Roman" w:hAnsi="Times New Roman"/>
          <w:sz w:val="24"/>
          <w:szCs w:val="24"/>
        </w:rPr>
      </w:pPr>
      <w:r w:rsidRPr="00842C1A">
        <w:rPr>
          <w:rFonts w:ascii="Times New Roman" w:hAnsi="Times New Roman"/>
          <w:sz w:val="24"/>
          <w:szCs w:val="24"/>
        </w:rPr>
        <w:tab/>
        <w:t xml:space="preserve">Відповідно до законодавства рішенням про провадження даної планованої діяльності буде </w:t>
      </w:r>
    </w:p>
    <w:p w:rsidR="00C90F7C" w:rsidRPr="00842C1A" w:rsidRDefault="00C90F7C" w:rsidP="00C90F7C">
      <w:pPr>
        <w:pBdr>
          <w:bottom w:val="single" w:sz="4" w:space="1" w:color="auto"/>
        </w:pBdr>
        <w:spacing w:line="254" w:lineRule="auto"/>
        <w:ind w:firstLine="567"/>
        <w:jc w:val="center"/>
        <w:rPr>
          <w:rFonts w:ascii="Times New Roman" w:hAnsi="Times New Roman"/>
          <w:sz w:val="24"/>
          <w:szCs w:val="24"/>
        </w:rPr>
      </w:pPr>
      <w:r w:rsidRPr="00842C1A">
        <w:rPr>
          <w:rFonts w:ascii="Times New Roman" w:hAnsi="Times New Roman"/>
          <w:sz w:val="24"/>
          <w:szCs w:val="24"/>
        </w:rPr>
        <w:t>Дозвіл на виконання будівельних робіт</w:t>
      </w:r>
    </w:p>
    <w:p w:rsidR="00C90F7C" w:rsidRPr="00842C1A" w:rsidRDefault="00C90F7C" w:rsidP="00C90F7C">
      <w:pPr>
        <w:spacing w:line="254" w:lineRule="auto"/>
        <w:ind w:firstLine="567"/>
        <w:jc w:val="center"/>
        <w:rPr>
          <w:sz w:val="16"/>
          <w:szCs w:val="16"/>
        </w:rPr>
      </w:pPr>
      <w:r w:rsidRPr="00842C1A">
        <w:rPr>
          <w:rFonts w:ascii="Times New Roman" w:hAnsi="Times New Roman"/>
          <w:sz w:val="16"/>
          <w:szCs w:val="16"/>
        </w:rPr>
        <w:t>(вид рішення відповідно до частини першої статті 11 Закону України «Про оцінку впливу на довкілля»)</w:t>
      </w:r>
    </w:p>
    <w:p w:rsidR="00C90F7C" w:rsidRPr="00842C1A" w:rsidRDefault="00C90F7C" w:rsidP="00C90F7C">
      <w:pPr>
        <w:pStyle w:val="a5"/>
        <w:pBdr>
          <w:bottom w:val="single" w:sz="4" w:space="1" w:color="auto"/>
        </w:pBdr>
        <w:ind w:left="0"/>
        <w:jc w:val="both"/>
        <w:rPr>
          <w:rFonts w:ascii="Times New Roman" w:hAnsi="Times New Roman"/>
          <w:lang w:val="uk-UA"/>
        </w:rPr>
      </w:pPr>
      <w:r w:rsidRPr="00842C1A">
        <w:rPr>
          <w:rFonts w:ascii="Times New Roman" w:hAnsi="Times New Roman"/>
          <w:lang w:val="uk-UA"/>
        </w:rPr>
        <w:t xml:space="preserve">що видається </w:t>
      </w:r>
    </w:p>
    <w:p w:rsidR="00C90F7C" w:rsidRPr="00842C1A" w:rsidRDefault="00C90F7C" w:rsidP="00C90F7C">
      <w:pPr>
        <w:pStyle w:val="a5"/>
        <w:pBdr>
          <w:bottom w:val="single" w:sz="4" w:space="1" w:color="auto"/>
        </w:pBdr>
        <w:ind w:left="0"/>
        <w:jc w:val="center"/>
        <w:rPr>
          <w:rFonts w:ascii="Times New Roman" w:hAnsi="Times New Roman"/>
          <w:lang w:val="uk-UA"/>
        </w:rPr>
      </w:pPr>
      <w:r w:rsidRPr="00842C1A">
        <w:rPr>
          <w:rFonts w:ascii="Times New Roman" w:hAnsi="Times New Roman"/>
          <w:lang w:val="uk-UA"/>
        </w:rPr>
        <w:t>Державною інспекцією архітектури та містобудування України</w:t>
      </w:r>
    </w:p>
    <w:p w:rsidR="00C90F7C" w:rsidRPr="00842C1A" w:rsidRDefault="00C90F7C" w:rsidP="00C90F7C">
      <w:pPr>
        <w:jc w:val="center"/>
        <w:rPr>
          <w:rFonts w:ascii="Times New Roman" w:hAnsi="Times New Roman"/>
          <w:sz w:val="16"/>
          <w:szCs w:val="16"/>
        </w:rPr>
      </w:pPr>
      <w:r w:rsidRPr="00842C1A">
        <w:rPr>
          <w:rFonts w:ascii="Times New Roman" w:hAnsi="Times New Roman"/>
          <w:sz w:val="16"/>
          <w:szCs w:val="16"/>
        </w:rPr>
        <w:t>(орган, до повноважень якого належить прийняття такого рішення)</w:t>
      </w:r>
    </w:p>
    <w:p w:rsidR="00C90F7C" w:rsidRPr="00842C1A" w:rsidRDefault="00C90F7C" w:rsidP="00C90F7C">
      <w:pPr>
        <w:pStyle w:val="Default"/>
        <w:spacing w:before="120" w:after="120"/>
        <w:ind w:firstLine="567"/>
        <w:jc w:val="both"/>
        <w:rPr>
          <w:b/>
          <w:color w:val="auto"/>
          <w:lang w:val="uk-UA"/>
        </w:rPr>
      </w:pPr>
      <w:r w:rsidRPr="00842C1A">
        <w:rPr>
          <w:b/>
          <w:color w:val="auto"/>
          <w:lang w:val="uk-UA"/>
        </w:rPr>
        <w:t>15. Усі зауваження і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 необхідно надсилати до</w:t>
      </w:r>
    </w:p>
    <w:p w:rsidR="00C90F7C" w:rsidRPr="00842C1A" w:rsidRDefault="00C90F7C" w:rsidP="00C90F7C">
      <w:pPr>
        <w:pBdr>
          <w:bottom w:val="single" w:sz="4" w:space="1" w:color="auto"/>
        </w:pBdr>
        <w:ind w:right="1" w:firstLine="567"/>
        <w:jc w:val="both"/>
        <w:rPr>
          <w:rFonts w:ascii="Times New Roman" w:hAnsi="Times New Roman"/>
          <w:sz w:val="24"/>
          <w:szCs w:val="24"/>
        </w:rPr>
      </w:pPr>
      <w:r w:rsidRPr="00842C1A">
        <w:rPr>
          <w:rFonts w:ascii="Times New Roman" w:hAnsi="Times New Roman"/>
          <w:sz w:val="24"/>
          <w:szCs w:val="24"/>
        </w:rPr>
        <w:t xml:space="preserve">Міністерства захисту довкілля та природних ресурсів України, Департамент екологічної оцінки та контролю, </w:t>
      </w:r>
      <w:smartTag w:uri="urn:schemas-microsoft-com:office:smarttags" w:element="metricconverter">
        <w:smartTagPr>
          <w:attr w:name="ProductID" w:val="03035, м"/>
        </w:smartTagPr>
        <w:r w:rsidRPr="00842C1A">
          <w:rPr>
            <w:rFonts w:ascii="Times New Roman" w:hAnsi="Times New Roman"/>
            <w:sz w:val="24"/>
            <w:szCs w:val="24"/>
          </w:rPr>
          <w:t>03035, м</w:t>
        </w:r>
      </w:smartTag>
      <w:r w:rsidRPr="00842C1A">
        <w:rPr>
          <w:rFonts w:ascii="Times New Roman" w:hAnsi="Times New Roman"/>
          <w:sz w:val="24"/>
          <w:szCs w:val="24"/>
        </w:rPr>
        <w:t xml:space="preserve">. Київ, вул. Митрополита Василя </w:t>
      </w:r>
      <w:proofErr w:type="spellStart"/>
      <w:r w:rsidRPr="00842C1A">
        <w:rPr>
          <w:rFonts w:ascii="Times New Roman" w:hAnsi="Times New Roman"/>
          <w:sz w:val="24"/>
          <w:szCs w:val="24"/>
        </w:rPr>
        <w:t>Липківського</w:t>
      </w:r>
      <w:proofErr w:type="spellEnd"/>
      <w:r w:rsidRPr="00842C1A">
        <w:rPr>
          <w:rFonts w:ascii="Times New Roman" w:hAnsi="Times New Roman"/>
          <w:sz w:val="24"/>
          <w:szCs w:val="24"/>
        </w:rPr>
        <w:t>, 35, тел./факс. (044) 206-31-40, (044) 206-31-50, e-</w:t>
      </w:r>
      <w:proofErr w:type="spellStart"/>
      <w:r w:rsidRPr="00842C1A">
        <w:rPr>
          <w:rFonts w:ascii="Times New Roman" w:hAnsi="Times New Roman"/>
          <w:sz w:val="24"/>
          <w:szCs w:val="24"/>
        </w:rPr>
        <w:t>mail</w:t>
      </w:r>
      <w:proofErr w:type="spellEnd"/>
      <w:r w:rsidRPr="00842C1A">
        <w:rPr>
          <w:rFonts w:ascii="Times New Roman" w:hAnsi="Times New Roman"/>
          <w:sz w:val="24"/>
          <w:szCs w:val="24"/>
        </w:rPr>
        <w:t>: OVD@</w:t>
      </w:r>
      <w:proofErr w:type="spellStart"/>
      <w:r w:rsidRPr="00842C1A">
        <w:rPr>
          <w:rFonts w:ascii="Times New Roman" w:hAnsi="Times New Roman"/>
          <w:sz w:val="24"/>
          <w:szCs w:val="24"/>
        </w:rPr>
        <w:t>mepr.gov.ua</w:t>
      </w:r>
      <w:proofErr w:type="spellEnd"/>
      <w:r w:rsidRPr="00842C1A">
        <w:rPr>
          <w:rFonts w:ascii="Times New Roman" w:hAnsi="Times New Roman"/>
          <w:sz w:val="24"/>
          <w:szCs w:val="24"/>
        </w:rPr>
        <w:t xml:space="preserve">, </w:t>
      </w:r>
    </w:p>
    <w:p w:rsidR="00C90F7C" w:rsidRPr="00842C1A" w:rsidRDefault="00C90F7C" w:rsidP="00C90F7C">
      <w:pPr>
        <w:pBdr>
          <w:bottom w:val="single" w:sz="4" w:space="1" w:color="auto"/>
        </w:pBdr>
        <w:ind w:right="1" w:firstLine="567"/>
        <w:jc w:val="both"/>
        <w:rPr>
          <w:rFonts w:ascii="Times New Roman" w:hAnsi="Times New Roman"/>
          <w:sz w:val="24"/>
          <w:szCs w:val="24"/>
        </w:rPr>
      </w:pPr>
      <w:r w:rsidRPr="00842C1A">
        <w:rPr>
          <w:rFonts w:ascii="Times New Roman" w:hAnsi="Times New Roman"/>
          <w:sz w:val="24"/>
          <w:szCs w:val="24"/>
        </w:rPr>
        <w:t xml:space="preserve">контактна особа від уповноваженого центрального органу: </w:t>
      </w:r>
      <w:proofErr w:type="spellStart"/>
      <w:r w:rsidRPr="00842C1A">
        <w:rPr>
          <w:rFonts w:ascii="Times New Roman" w:hAnsi="Times New Roman"/>
          <w:sz w:val="24"/>
          <w:szCs w:val="24"/>
        </w:rPr>
        <w:t>Котяш</w:t>
      </w:r>
      <w:proofErr w:type="spellEnd"/>
      <w:r w:rsidRPr="00842C1A">
        <w:rPr>
          <w:rFonts w:ascii="Times New Roman" w:hAnsi="Times New Roman"/>
          <w:sz w:val="24"/>
          <w:szCs w:val="24"/>
        </w:rPr>
        <w:t xml:space="preserve"> Лада Павлівна, заступник директора Департаменту екологічної оцінки, контролю та екологічних фінансів – начальник відділу формування державної політики в сфері екологічного контролю</w:t>
      </w:r>
    </w:p>
    <w:p w:rsidR="00C90F7C" w:rsidRPr="00842C1A" w:rsidRDefault="00C90F7C" w:rsidP="00C90F7C">
      <w:pPr>
        <w:ind w:firstLine="567"/>
        <w:jc w:val="both"/>
        <w:rPr>
          <w:rFonts w:ascii="Times New Roman" w:hAnsi="Times New Roman"/>
          <w:sz w:val="16"/>
          <w:szCs w:val="16"/>
        </w:rPr>
      </w:pPr>
      <w:r w:rsidRPr="00842C1A">
        <w:rPr>
          <w:rFonts w:ascii="Times New Roman" w:hAnsi="Times New Roman"/>
          <w:sz w:val="18"/>
        </w:rPr>
        <w:t xml:space="preserve"> </w:t>
      </w:r>
      <w:r w:rsidRPr="00842C1A">
        <w:rPr>
          <w:rFonts w:ascii="Times New Roman" w:hAnsi="Times New Roman"/>
          <w:sz w:val="16"/>
          <w:szCs w:val="16"/>
        </w:rPr>
        <w:t>(найменування уповноваженого органу, поштова адреса, електронна адреса, номер телефону та контактна особа)</w:t>
      </w:r>
    </w:p>
    <w:p w:rsidR="00C90F7C" w:rsidRPr="00842C1A" w:rsidRDefault="00C90F7C" w:rsidP="00C90F7C">
      <w:pPr>
        <w:jc w:val="both"/>
        <w:rPr>
          <w:rStyle w:val="st46"/>
          <w:rFonts w:ascii="Times New Roman" w:hAnsi="Times New Roman"/>
          <w:sz w:val="24"/>
          <w:szCs w:val="24"/>
        </w:rPr>
      </w:pPr>
    </w:p>
    <w:p w:rsidR="003D7468" w:rsidRDefault="003D7468">
      <w:bookmarkStart w:id="0" w:name="_GoBack"/>
      <w:bookmarkEnd w:id="0"/>
    </w:p>
    <w:sectPr w:rsidR="003D7468" w:rsidSect="004543CE">
      <w:headerReference w:type="even" r:id="rId10"/>
      <w:footerReference w:type="first" r:id="rId11"/>
      <w:footnotePr>
        <w:numFmt w:val="chicago"/>
      </w:footnotePr>
      <w:pgSz w:w="11906" w:h="16838" w:code="9"/>
      <w:pgMar w:top="1134" w:right="1134" w:bottom="993"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080" w:rsidRDefault="001B7080" w:rsidP="00C90F7C">
      <w:r>
        <w:separator/>
      </w:r>
    </w:p>
  </w:endnote>
  <w:endnote w:type="continuationSeparator" w:id="0">
    <w:p w:rsidR="001B7080" w:rsidRDefault="001B7080" w:rsidP="00C9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33" w:rsidRDefault="001B708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080" w:rsidRDefault="001B7080" w:rsidP="00C90F7C">
      <w:r>
        <w:separator/>
      </w:r>
    </w:p>
  </w:footnote>
  <w:footnote w:type="continuationSeparator" w:id="0">
    <w:p w:rsidR="001B7080" w:rsidRDefault="001B7080" w:rsidP="00C90F7C">
      <w:r>
        <w:continuationSeparator/>
      </w:r>
    </w:p>
  </w:footnote>
  <w:footnote w:id="1">
    <w:p w:rsidR="00C90F7C" w:rsidRPr="00FE0850" w:rsidRDefault="00C90F7C" w:rsidP="00C90F7C">
      <w:pPr>
        <w:pStyle w:val="a6"/>
        <w:rPr>
          <w:rFonts w:ascii="Times New Roman" w:hAnsi="Times New Roman"/>
        </w:rPr>
      </w:pPr>
      <w:r w:rsidRPr="00FE0850">
        <w:rPr>
          <w:rFonts w:ascii="Times New Roman" w:hAnsi="Times New Roman"/>
        </w:rPr>
        <w:footnoteRef/>
      </w:r>
      <w:r w:rsidRPr="00FE0850">
        <w:rPr>
          <w:rFonts w:ascii="Times New Roman" w:hAnsi="Times New Roman"/>
        </w:rPr>
        <w:t xml:space="preserve"> Суб’єкт господарювання має право розглядати більше технічних та територіальних альтернатив.</w:t>
      </w:r>
    </w:p>
    <w:p w:rsidR="00C90F7C" w:rsidRPr="00654397" w:rsidRDefault="00C90F7C" w:rsidP="00C90F7C">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33" w:rsidRDefault="001B7080">
    <w:pPr>
      <w:framePr w:wrap="around" w:vAnchor="text" w:hAnchor="margin" w:xAlign="center" w:y="1"/>
    </w:pPr>
    <w:r>
      <w:fldChar w:fldCharType="begin"/>
    </w:r>
    <w:r>
      <w:instrText xml:space="preserve">PAGE  </w:instrText>
    </w:r>
    <w:r>
      <w:fldChar w:fldCharType="separate"/>
    </w:r>
    <w:r>
      <w:rPr>
        <w:noProof/>
      </w:rPr>
      <w:t>1</w:t>
    </w:r>
    <w:r>
      <w:fldChar w:fldCharType="end"/>
    </w:r>
  </w:p>
  <w:p w:rsidR="00DE4E33" w:rsidRDefault="001B70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0C8"/>
    <w:multiLevelType w:val="hybridMultilevel"/>
    <w:tmpl w:val="CB1EF940"/>
    <w:lvl w:ilvl="0" w:tplc="F2F0A8F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8466CEC"/>
    <w:multiLevelType w:val="hybridMultilevel"/>
    <w:tmpl w:val="C27A7254"/>
    <w:lvl w:ilvl="0" w:tplc="F2F0A8F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7A"/>
    <w:rsid w:val="001B7080"/>
    <w:rsid w:val="003D7468"/>
    <w:rsid w:val="00B13D7A"/>
    <w:rsid w:val="00C90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F7C"/>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90F7C"/>
    <w:pPr>
      <w:tabs>
        <w:tab w:val="center" w:pos="4153"/>
        <w:tab w:val="right" w:pos="8306"/>
      </w:tabs>
    </w:pPr>
  </w:style>
  <w:style w:type="character" w:customStyle="1" w:styleId="a4">
    <w:name w:val="Нижний колонтитул Знак"/>
    <w:basedOn w:val="a0"/>
    <w:link w:val="a3"/>
    <w:uiPriority w:val="99"/>
    <w:rsid w:val="00C90F7C"/>
    <w:rPr>
      <w:rFonts w:ascii="Antiqua" w:eastAsia="Times New Roman" w:hAnsi="Antiqua" w:cs="Times New Roman"/>
      <w:sz w:val="26"/>
      <w:szCs w:val="20"/>
      <w:lang w:val="uk-UA" w:eastAsia="ru-RU"/>
    </w:rPr>
  </w:style>
  <w:style w:type="paragraph" w:styleId="a5">
    <w:name w:val="List Paragraph"/>
    <w:aliases w:val="Таблиці,Табличны текст основной,Абзац списку1"/>
    <w:basedOn w:val="a"/>
    <w:uiPriority w:val="34"/>
    <w:qFormat/>
    <w:rsid w:val="00C90F7C"/>
    <w:pPr>
      <w:ind w:left="720"/>
      <w:contextualSpacing/>
    </w:pPr>
    <w:rPr>
      <w:rFonts w:ascii="Calibri" w:hAnsi="Calibri"/>
      <w:sz w:val="24"/>
      <w:szCs w:val="24"/>
      <w:lang w:val="en-US" w:eastAsia="en-US"/>
    </w:rPr>
  </w:style>
  <w:style w:type="paragraph" w:styleId="a6">
    <w:name w:val="footnote text"/>
    <w:basedOn w:val="a"/>
    <w:link w:val="a7"/>
    <w:uiPriority w:val="99"/>
    <w:semiHidden/>
    <w:unhideWhenUsed/>
    <w:rsid w:val="00C90F7C"/>
    <w:rPr>
      <w:sz w:val="20"/>
    </w:rPr>
  </w:style>
  <w:style w:type="character" w:customStyle="1" w:styleId="a7">
    <w:name w:val="Текст сноски Знак"/>
    <w:basedOn w:val="a0"/>
    <w:link w:val="a6"/>
    <w:uiPriority w:val="99"/>
    <w:semiHidden/>
    <w:rsid w:val="00C90F7C"/>
    <w:rPr>
      <w:rFonts w:ascii="Antiqua" w:eastAsia="Times New Roman" w:hAnsi="Antiqua" w:cs="Times New Roman"/>
      <w:sz w:val="20"/>
      <w:szCs w:val="20"/>
      <w:lang w:val="uk-UA" w:eastAsia="ru-RU"/>
    </w:rPr>
  </w:style>
  <w:style w:type="character" w:customStyle="1" w:styleId="st46">
    <w:name w:val="st46"/>
    <w:uiPriority w:val="99"/>
    <w:rsid w:val="00C90F7C"/>
    <w:rPr>
      <w:i/>
      <w:iCs/>
      <w:color w:val="000000"/>
    </w:rPr>
  </w:style>
  <w:style w:type="character" w:styleId="a8">
    <w:name w:val="Hyperlink"/>
    <w:uiPriority w:val="99"/>
    <w:unhideWhenUsed/>
    <w:rsid w:val="00C90F7C"/>
    <w:rPr>
      <w:color w:val="0000FF"/>
      <w:u w:val="single"/>
    </w:rPr>
  </w:style>
  <w:style w:type="paragraph" w:customStyle="1" w:styleId="Default">
    <w:name w:val="Default"/>
    <w:rsid w:val="00C90F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F7C"/>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90F7C"/>
    <w:pPr>
      <w:tabs>
        <w:tab w:val="center" w:pos="4153"/>
        <w:tab w:val="right" w:pos="8306"/>
      </w:tabs>
    </w:pPr>
  </w:style>
  <w:style w:type="character" w:customStyle="1" w:styleId="a4">
    <w:name w:val="Нижний колонтитул Знак"/>
    <w:basedOn w:val="a0"/>
    <w:link w:val="a3"/>
    <w:uiPriority w:val="99"/>
    <w:rsid w:val="00C90F7C"/>
    <w:rPr>
      <w:rFonts w:ascii="Antiqua" w:eastAsia="Times New Roman" w:hAnsi="Antiqua" w:cs="Times New Roman"/>
      <w:sz w:val="26"/>
      <w:szCs w:val="20"/>
      <w:lang w:val="uk-UA" w:eastAsia="ru-RU"/>
    </w:rPr>
  </w:style>
  <w:style w:type="paragraph" w:styleId="a5">
    <w:name w:val="List Paragraph"/>
    <w:aliases w:val="Таблиці,Табличны текст основной,Абзац списку1"/>
    <w:basedOn w:val="a"/>
    <w:uiPriority w:val="34"/>
    <w:qFormat/>
    <w:rsid w:val="00C90F7C"/>
    <w:pPr>
      <w:ind w:left="720"/>
      <w:contextualSpacing/>
    </w:pPr>
    <w:rPr>
      <w:rFonts w:ascii="Calibri" w:hAnsi="Calibri"/>
      <w:sz w:val="24"/>
      <w:szCs w:val="24"/>
      <w:lang w:val="en-US" w:eastAsia="en-US"/>
    </w:rPr>
  </w:style>
  <w:style w:type="paragraph" w:styleId="a6">
    <w:name w:val="footnote text"/>
    <w:basedOn w:val="a"/>
    <w:link w:val="a7"/>
    <w:uiPriority w:val="99"/>
    <w:semiHidden/>
    <w:unhideWhenUsed/>
    <w:rsid w:val="00C90F7C"/>
    <w:rPr>
      <w:sz w:val="20"/>
    </w:rPr>
  </w:style>
  <w:style w:type="character" w:customStyle="1" w:styleId="a7">
    <w:name w:val="Текст сноски Знак"/>
    <w:basedOn w:val="a0"/>
    <w:link w:val="a6"/>
    <w:uiPriority w:val="99"/>
    <w:semiHidden/>
    <w:rsid w:val="00C90F7C"/>
    <w:rPr>
      <w:rFonts w:ascii="Antiqua" w:eastAsia="Times New Roman" w:hAnsi="Antiqua" w:cs="Times New Roman"/>
      <w:sz w:val="20"/>
      <w:szCs w:val="20"/>
      <w:lang w:val="uk-UA" w:eastAsia="ru-RU"/>
    </w:rPr>
  </w:style>
  <w:style w:type="character" w:customStyle="1" w:styleId="st46">
    <w:name w:val="st46"/>
    <w:uiPriority w:val="99"/>
    <w:rsid w:val="00C90F7C"/>
    <w:rPr>
      <w:i/>
      <w:iCs/>
      <w:color w:val="000000"/>
    </w:rPr>
  </w:style>
  <w:style w:type="character" w:styleId="a8">
    <w:name w:val="Hyperlink"/>
    <w:uiPriority w:val="99"/>
    <w:unhideWhenUsed/>
    <w:rsid w:val="00C90F7C"/>
    <w:rPr>
      <w:color w:val="0000FF"/>
      <w:u w:val="single"/>
    </w:rPr>
  </w:style>
  <w:style w:type="paragraph" w:customStyle="1" w:styleId="Default">
    <w:name w:val="Default"/>
    <w:rsid w:val="00C90F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unpp.atom.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npp.mk.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3068</Words>
  <Characters>17491</Characters>
  <Application>Microsoft Office Word</Application>
  <DocSecurity>0</DocSecurity>
  <Lines>145</Lines>
  <Paragraphs>41</Paragraphs>
  <ScaleCrop>false</ScaleCrop>
  <Company/>
  <LinksUpToDate>false</LinksUpToDate>
  <CharactersWithSpaces>20518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dc:creator>
  <cp:keywords/>
  <dc:description/>
  <cp:lastModifiedBy>Eko</cp:lastModifiedBy>
  <cp:revision>2</cp:revision>
  <dcterms:created xsi:type="dcterms:W3CDTF">2022-07-14T08:41:00Z</dcterms:created>
  <dcterms:modified xsi:type="dcterms:W3CDTF">2022-07-14T08:46:00Z</dcterms:modified>
</cp:coreProperties>
</file>